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C813E" w14:textId="77777777" w:rsidR="007B1A84" w:rsidRDefault="002A0261" w:rsidP="003E0C33">
      <w:pPr>
        <w:pStyle w:val="P68B1DB1-a1"/>
        <w:tabs>
          <w:tab w:val="left" w:pos="6955"/>
          <w:tab w:val="left" w:pos="8523"/>
        </w:tabs>
        <w:spacing w:after="120"/>
        <w:ind w:left="115"/>
      </w:pPr>
      <w:r>
        <w:rPr>
          <w:noProof/>
          <w:position w:val="3"/>
        </w:rPr>
        <w:drawing>
          <wp:inline distT="0" distB="0" distL="0" distR="0" wp14:anchorId="513D90F6" wp14:editId="41EF20AF">
            <wp:extent cx="685726" cy="309562"/>
            <wp:effectExtent l="0" t="0" r="0" b="0"/>
            <wp:docPr id="2" name="Εικόνα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Εικόνα 2"/>
                    <pic:cNvPicPr/>
                  </pic:nvPicPr>
                  <pic:blipFill>
                    <a:blip r:embed="rId8" cstate="print"/>
                    <a:stretch>
                      <a:fillRect/>
                    </a:stretch>
                  </pic:blipFill>
                  <pic:spPr>
                    <a:xfrm>
                      <a:off x="0" y="0"/>
                      <a:ext cx="685726" cy="309562"/>
                    </a:xfrm>
                    <a:prstGeom prst="rect">
                      <a:avLst/>
                    </a:prstGeom>
                  </pic:spPr>
                </pic:pic>
              </a:graphicData>
            </a:graphic>
          </wp:inline>
        </w:drawing>
      </w:r>
      <w:r>
        <w:rPr>
          <w:position w:val="3"/>
        </w:rPr>
        <w:tab/>
      </w:r>
      <w:r>
        <w:rPr>
          <w:noProof/>
          <w:position w:val="7"/>
        </w:rPr>
        <w:drawing>
          <wp:inline distT="0" distB="0" distL="0" distR="0" wp14:anchorId="0DC5A1F5" wp14:editId="71E2F94F">
            <wp:extent cx="455505" cy="311276"/>
            <wp:effectExtent l="0" t="0" r="0" b="0"/>
            <wp:docPr id="3" name="Εικόνα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Εικόνα 3"/>
                    <pic:cNvPicPr/>
                  </pic:nvPicPr>
                  <pic:blipFill>
                    <a:blip r:embed="rId9" cstate="print"/>
                    <a:stretch>
                      <a:fillRect/>
                    </a:stretch>
                  </pic:blipFill>
                  <pic:spPr>
                    <a:xfrm>
                      <a:off x="0" y="0"/>
                      <a:ext cx="455505" cy="311276"/>
                    </a:xfrm>
                    <a:prstGeom prst="rect">
                      <a:avLst/>
                    </a:prstGeom>
                  </pic:spPr>
                </pic:pic>
              </a:graphicData>
            </a:graphic>
          </wp:inline>
        </w:drawing>
      </w:r>
      <w:r>
        <w:rPr>
          <w:position w:val="7"/>
        </w:rPr>
        <w:tab/>
      </w:r>
      <w:r>
        <w:rPr>
          <w:noProof/>
        </w:rPr>
        <w:drawing>
          <wp:inline distT="0" distB="0" distL="0" distR="0" wp14:anchorId="2B834C94" wp14:editId="671D8D6C">
            <wp:extent cx="424729" cy="339471"/>
            <wp:effectExtent l="0" t="0" r="0" b="0"/>
            <wp:docPr id="4" name="Εικόνα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Εικόνα 4"/>
                    <pic:cNvPicPr/>
                  </pic:nvPicPr>
                  <pic:blipFill>
                    <a:blip r:embed="rId10" cstate="print"/>
                    <a:stretch>
                      <a:fillRect/>
                    </a:stretch>
                  </pic:blipFill>
                  <pic:spPr>
                    <a:xfrm>
                      <a:off x="0" y="0"/>
                      <a:ext cx="424729" cy="339471"/>
                    </a:xfrm>
                    <a:prstGeom prst="rect">
                      <a:avLst/>
                    </a:prstGeom>
                  </pic:spPr>
                </pic:pic>
              </a:graphicData>
            </a:graphic>
          </wp:inline>
        </w:drawing>
      </w:r>
    </w:p>
    <w:p w14:paraId="08570EEE" w14:textId="77777777" w:rsidR="007B1A84" w:rsidRDefault="007B1A84" w:rsidP="003E0C33">
      <w:pPr>
        <w:pStyle w:val="BodyText"/>
        <w:spacing w:after="120"/>
        <w:rPr>
          <w:rFonts w:ascii="Times New Roman"/>
          <w:sz w:val="48"/>
        </w:rPr>
      </w:pPr>
    </w:p>
    <w:p w14:paraId="0EE4670D" w14:textId="42AE54FE" w:rsidR="007B1A84" w:rsidRDefault="002A0261" w:rsidP="003E0C33">
      <w:pPr>
        <w:pStyle w:val="Title"/>
        <w:spacing w:before="0" w:after="120"/>
      </w:pPr>
      <w:r>
        <w:rPr>
          <w:noProof/>
        </w:rPr>
        <mc:AlternateContent>
          <mc:Choice Requires="wps">
            <w:drawing>
              <wp:anchor distT="0" distB="0" distL="0" distR="0" simplePos="0" relativeHeight="486570496" behindDoc="1" locked="0" layoutInCell="1" allowOverlap="1" wp14:anchorId="73C76942" wp14:editId="441E00F0">
                <wp:simplePos x="0" y="0"/>
                <wp:positionH relativeFrom="page">
                  <wp:posOffset>2706116</wp:posOffset>
                </wp:positionH>
                <wp:positionV relativeFrom="paragraph">
                  <wp:posOffset>743931</wp:posOffset>
                </wp:positionV>
                <wp:extent cx="10160" cy="499109"/>
                <wp:effectExtent l="0" t="0" r="0" b="0"/>
                <wp:wrapNone/>
                <wp:docPr id="5" name="Γραφική παράσταση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0" cy="499109"/>
                        </a:xfrm>
                        <a:custGeom>
                          <a:avLst/>
                          <a:gdLst/>
                          <a:ahLst/>
                          <a:cxnLst/>
                          <a:rect l="l" t="t" r="r" b="b"/>
                          <a:pathLst>
                            <a:path w="10160" h="499109">
                              <a:moveTo>
                                <a:pt x="10160" y="112153"/>
                              </a:moveTo>
                              <a:lnTo>
                                <a:pt x="0" y="112153"/>
                              </a:lnTo>
                              <a:lnTo>
                                <a:pt x="0" y="498538"/>
                              </a:lnTo>
                              <a:lnTo>
                                <a:pt x="10160" y="498538"/>
                              </a:lnTo>
                              <a:lnTo>
                                <a:pt x="10160" y="112153"/>
                              </a:lnTo>
                              <a:close/>
                            </a:path>
                            <a:path w="10160" h="499109">
                              <a:moveTo>
                                <a:pt x="10160" y="0"/>
                              </a:moveTo>
                              <a:lnTo>
                                <a:pt x="0" y="0"/>
                              </a:lnTo>
                              <a:lnTo>
                                <a:pt x="0" y="112077"/>
                              </a:lnTo>
                              <a:lnTo>
                                <a:pt x="10160" y="112077"/>
                              </a:lnTo>
                              <a:lnTo>
                                <a:pt x="10160" y="0"/>
                              </a:lnTo>
                              <a:close/>
                            </a:path>
                          </a:pathLst>
                        </a:custGeom>
                        <a:solidFill>
                          <a:srgbClr val="F16421"/>
                        </a:solidFill>
                      </wps:spPr>
                      <wps:bodyPr wrap="square" lIns="0" tIns="0" rIns="0" bIns="0" rtlCol="0">
                        <a:prstTxWarp prst="textNoShape">
                          <a:avLst/>
                        </a:prstTxWarp>
                        <a:noAutofit/>
                      </wps:bodyPr>
                    </wps:wsp>
                  </a:graphicData>
                </a:graphic>
              </wp:anchor>
            </w:drawing>
          </mc:Choice>
          <mc:Fallback>
            <w:pict>
              <v:shape w14:anchorId="260BD358" id="Γραφική παράσταση 5" o:spid="_x0000_s1026" style="position:absolute;margin-left:213.1pt;margin-top:58.6pt;width:.8pt;height:39.3pt;z-index:-16745984;visibility:visible;mso-wrap-style:square;mso-wrap-distance-left:0;mso-wrap-distance-top:0;mso-wrap-distance-right:0;mso-wrap-distance-bottom:0;mso-position-horizontal:absolute;mso-position-horizontal-relative:page;mso-position-vertical:absolute;mso-position-vertical-relative:text;v-text-anchor:top" coordsize="10160,499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" path="m10160,112153l,112153,,498538r10160,l10160,112153xem10160,l,,,112077r10160,l10160,xe" fillcolor="#f16421" stroked="f">
                <v:path arrowok="t"/>
                <w10:wrap anchorx="page"/>
              </v:shape>
            </w:pict>
          </mc:Fallback>
        </mc:AlternateContent>
      </w:r>
      <w:r w:rsidR="005D3919">
        <w:rPr>
          <w:color w:val="FF4000"/>
          <w:lang w:val="el-GR"/>
        </w:rPr>
        <w:t>Οδηγός κατευθύνσεων</w:t>
      </w:r>
      <w:r>
        <w:rPr>
          <w:color w:val="FF4000"/>
        </w:rPr>
        <w:t xml:space="preserve"> 2-αναθ2</w:t>
      </w:r>
    </w:p>
    <w:p w14:paraId="6B52261A" w14:textId="77777777" w:rsidR="007B1A84" w:rsidRDefault="007B1A84" w:rsidP="003E0C33">
      <w:pPr>
        <w:pStyle w:val="BodyText"/>
        <w:spacing w:after="120"/>
        <w:rPr>
          <w:rFonts w:ascii="Arial"/>
          <w:b/>
          <w:sz w:val="20"/>
        </w:rPr>
      </w:pPr>
    </w:p>
    <w:p w14:paraId="498C9F1E" w14:textId="77777777" w:rsidR="007B1A84" w:rsidRDefault="007B1A84" w:rsidP="003E0C33">
      <w:pPr>
        <w:pStyle w:val="BodyText"/>
        <w:spacing w:after="120"/>
        <w:rPr>
          <w:rFonts w:ascii="Arial"/>
          <w:b/>
          <w:sz w:val="20"/>
        </w:rPr>
      </w:pPr>
    </w:p>
    <w:p w14:paraId="32C11C7D" w14:textId="77777777" w:rsidR="007B1A84" w:rsidRDefault="007B1A84" w:rsidP="003E0C33">
      <w:pPr>
        <w:pStyle w:val="BodyText"/>
        <w:spacing w:after="120"/>
        <w:rPr>
          <w:rFonts w:ascii="Arial"/>
          <w:b/>
          <w:sz w:val="20"/>
        </w:rPr>
      </w:pPr>
    </w:p>
    <w:tbl>
      <w:tblPr>
        <w:tblStyle w:val="TableNormal1"/>
        <w:tblW w:w="0" w:type="auto"/>
        <w:tblInd w:w="28"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1E0" w:firstRow="1" w:lastRow="1" w:firstColumn="1" w:lastColumn="1" w:noHBand="0" w:noVBand="0"/>
      </w:tblPr>
      <w:tblGrid>
        <w:gridCol w:w="2836"/>
        <w:gridCol w:w="5480"/>
      </w:tblGrid>
      <w:tr w:rsidR="007B1A84" w14:paraId="0B609053" w14:textId="77777777">
        <w:trPr>
          <w:trHeight w:val="490"/>
        </w:trPr>
        <w:tc>
          <w:tcPr>
            <w:tcW w:w="2836" w:type="dxa"/>
            <w:tcBorders>
              <w:top w:val="nil"/>
              <w:left w:val="nil"/>
              <w:right w:val="nil"/>
            </w:tcBorders>
          </w:tcPr>
          <w:p w14:paraId="356EB20A" w14:textId="77777777" w:rsidR="007B1A84" w:rsidRDefault="002A0261" w:rsidP="003E0C33">
            <w:pPr>
              <w:pStyle w:val="P68B1DB1-TableParagraph2"/>
              <w:spacing w:after="120"/>
              <w:ind w:left="128"/>
            </w:pPr>
            <w:r>
              <w:t>Ημερομηνία:</w:t>
            </w:r>
          </w:p>
        </w:tc>
        <w:tc>
          <w:tcPr>
            <w:tcW w:w="5480" w:type="dxa"/>
            <w:tcBorders>
              <w:top w:val="nil"/>
              <w:left w:val="nil"/>
              <w:right w:val="nil"/>
            </w:tcBorders>
          </w:tcPr>
          <w:p w14:paraId="72B1002C" w14:textId="77777777" w:rsidR="007B1A84" w:rsidRDefault="002A0261" w:rsidP="003E0C33">
            <w:pPr>
              <w:pStyle w:val="P68B1DB1-TableParagraph3"/>
              <w:spacing w:after="120"/>
              <w:ind w:left="128"/>
            </w:pPr>
            <w:r>
              <w:t xml:space="preserve">30 </w:t>
            </w:r>
            <w:r>
              <w:t>Ιανουαρίου</w:t>
            </w:r>
            <w:r>
              <w:t xml:space="preserve"> 2025</w:t>
            </w:r>
          </w:p>
        </w:tc>
      </w:tr>
      <w:tr w:rsidR="007B1A84" w14:paraId="517C5701" w14:textId="77777777">
        <w:trPr>
          <w:trHeight w:val="796"/>
        </w:trPr>
        <w:tc>
          <w:tcPr>
            <w:tcW w:w="2836" w:type="dxa"/>
            <w:tcBorders>
              <w:right w:val="single" w:sz="8" w:space="0" w:color="F16421"/>
            </w:tcBorders>
          </w:tcPr>
          <w:p w14:paraId="128D68D7" w14:textId="77777777" w:rsidR="007B1A84" w:rsidRDefault="007B1A84" w:rsidP="003E0C33">
            <w:pPr>
              <w:pStyle w:val="TableParagraph"/>
              <w:spacing w:after="120"/>
              <w:rPr>
                <w:rFonts w:ascii="Arial"/>
                <w:b/>
                <w:sz w:val="21"/>
              </w:rPr>
            </w:pPr>
          </w:p>
          <w:p w14:paraId="55FBCBC8" w14:textId="77777777" w:rsidR="007B1A84" w:rsidRDefault="002A0261" w:rsidP="003E0C33">
            <w:pPr>
              <w:pStyle w:val="P68B1DB1-TableParagraph2"/>
              <w:spacing w:after="120"/>
              <w:ind w:left="118"/>
            </w:pPr>
            <w:r>
              <w:t>Κωδικός ανάθεσης Jaspers:</w:t>
            </w:r>
          </w:p>
        </w:tc>
        <w:tc>
          <w:tcPr>
            <w:tcW w:w="5480" w:type="dxa"/>
            <w:tcBorders>
              <w:left w:val="single" w:sz="8" w:space="0" w:color="F16421"/>
              <w:right w:val="nil"/>
            </w:tcBorders>
          </w:tcPr>
          <w:p w14:paraId="37C5A308" w14:textId="77777777" w:rsidR="007B1A84" w:rsidRDefault="007B1A84" w:rsidP="003E0C33">
            <w:pPr>
              <w:pStyle w:val="TableParagraph"/>
              <w:spacing w:after="120"/>
              <w:rPr>
                <w:rFonts w:ascii="Arial"/>
                <w:b/>
                <w:sz w:val="21"/>
              </w:rPr>
            </w:pPr>
          </w:p>
          <w:p w14:paraId="340C288C" w14:textId="77777777" w:rsidR="007B1A84" w:rsidRDefault="002A0261" w:rsidP="003E0C33">
            <w:pPr>
              <w:pStyle w:val="P68B1DB1-TableParagraph2"/>
              <w:spacing w:after="120"/>
              <w:ind w:left="118"/>
            </w:pPr>
            <w:r>
              <w:rPr>
                <w:noProof/>
              </w:rPr>
              <mc:AlternateContent>
                <mc:Choice Requires="wpg">
                  <w:drawing>
                    <wp:anchor distT="0" distB="0" distL="0" distR="0" simplePos="0" relativeHeight="15730176" behindDoc="0" locked="0" layoutInCell="1" allowOverlap="1" wp14:anchorId="4E16C9AF" wp14:editId="5B4417E3">
                      <wp:simplePos x="0" y="0"/>
                      <wp:positionH relativeFrom="column">
                        <wp:posOffset>3474339</wp:posOffset>
                      </wp:positionH>
                      <wp:positionV relativeFrom="paragraph">
                        <wp:posOffset>-199657</wp:posOffset>
                      </wp:positionV>
                      <wp:extent cx="10160" cy="121920"/>
                      <wp:effectExtent l="0" t="0" r="0" b="0"/>
                      <wp:wrapNone/>
                      <wp:docPr id="6" name="Ομάδα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60" cy="121920"/>
                                <a:chOff x="0" y="0"/>
                                <a:chExt cx="10160" cy="121920"/>
                              </a:xfrm>
                            </wpg:grpSpPr>
                            <wps:wsp>
                              <wps:cNvPr id="7" name="Γραφική παράσταση 7"/>
                              <wps:cNvSpPr/>
                              <wps:spPr>
                                <a:xfrm>
                                  <a:off x="0" y="0"/>
                                  <a:ext cx="10160" cy="121920"/>
                                </a:xfrm>
                                <a:custGeom>
                                  <a:avLst/>
                                  <a:gdLst/>
                                  <a:ahLst/>
                                  <a:cxnLst/>
                                  <a:rect l="l" t="t" r="r" b="b"/>
                                  <a:pathLst>
                                    <a:path w="10160" h="121920">
                                      <a:moveTo>
                                        <a:pt x="10159" y="0"/>
                                      </a:moveTo>
                                      <a:lnTo>
                                        <a:pt x="0" y="0"/>
                                      </a:lnTo>
                                      <a:lnTo>
                                        <a:pt x="0" y="121920"/>
                                      </a:lnTo>
                                      <a:lnTo>
                                        <a:pt x="10159" y="121920"/>
                                      </a:lnTo>
                                      <a:lnTo>
                                        <a:pt x="1015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25C5A1A7" id="Ομάδα 6" o:spid="_x0000_s1026" style="position:absolute;margin-left:273.55pt;margin-top:-15.7pt;width:.8pt;height:9.6pt;z-index:15730176;mso-wrap-distance-left:0;mso-wrap-distance-right:0" coordsize="10160,12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">
                      <v:shape id="Γραφική παράσταση 7" o:spid="_x0000_s1027" style="position:absolute;width:10160;height:121920;visibility:visible;mso-wrap-style:square;v-text-anchor:top" coordsize="10160,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" path="m10159,l,,,121920r10159,l10159,xe" fillcolor="#d9d9d9" stroked="f">
                        <v:path arrowok="t"/>
                      </v:shape>
                    </v:group>
                  </w:pict>
                </mc:Fallback>
              </mc:AlternateContent>
            </w:r>
            <w:r>
              <w:t>2023 119 GR SCE HOR</w:t>
            </w:r>
          </w:p>
        </w:tc>
      </w:tr>
      <w:tr w:rsidR="007B1A84" w14:paraId="17DF5DD5" w14:textId="77777777">
        <w:trPr>
          <w:trHeight w:val="1069"/>
        </w:trPr>
        <w:tc>
          <w:tcPr>
            <w:tcW w:w="2836" w:type="dxa"/>
            <w:tcBorders>
              <w:left w:val="nil"/>
              <w:right w:val="single" w:sz="8" w:space="0" w:color="F16421"/>
            </w:tcBorders>
          </w:tcPr>
          <w:p w14:paraId="2A229A88" w14:textId="77777777" w:rsidR="007B1A84" w:rsidRDefault="007B1A84" w:rsidP="003E0C33">
            <w:pPr>
              <w:pStyle w:val="TableParagraph"/>
              <w:spacing w:after="120"/>
              <w:rPr>
                <w:rFonts w:ascii="Arial"/>
                <w:b/>
                <w:sz w:val="21"/>
              </w:rPr>
            </w:pPr>
          </w:p>
          <w:p w14:paraId="0C8F0CBB" w14:textId="77777777" w:rsidR="007B1A84" w:rsidRDefault="002A0261" w:rsidP="003E0C33">
            <w:pPr>
              <w:pStyle w:val="P68B1DB1-TableParagraph2"/>
              <w:spacing w:after="120"/>
              <w:ind w:left="128"/>
            </w:pPr>
            <w:r>
              <w:t>Τίτλος έργου:</w:t>
            </w:r>
          </w:p>
        </w:tc>
        <w:tc>
          <w:tcPr>
            <w:tcW w:w="5480" w:type="dxa"/>
            <w:tcBorders>
              <w:left w:val="single" w:sz="8" w:space="0" w:color="F16421"/>
              <w:right w:val="nil"/>
            </w:tcBorders>
          </w:tcPr>
          <w:p w14:paraId="66E813AF" w14:textId="77777777" w:rsidR="007B1A84" w:rsidRDefault="007B1A84" w:rsidP="003E0C33">
            <w:pPr>
              <w:pStyle w:val="TableParagraph"/>
              <w:spacing w:after="120"/>
              <w:rPr>
                <w:rFonts w:ascii="Arial"/>
                <w:b/>
                <w:sz w:val="21"/>
              </w:rPr>
            </w:pPr>
          </w:p>
          <w:p w14:paraId="704811CA" w14:textId="77777777" w:rsidR="007B1A84" w:rsidRDefault="002A0261" w:rsidP="003E0C33">
            <w:pPr>
              <w:pStyle w:val="P68B1DB1-TableParagraph3"/>
              <w:spacing w:after="120"/>
              <w:ind w:left="118" w:right="95"/>
              <w:jc w:val="both"/>
            </w:pPr>
            <w:r>
              <w:t>Επιλεξιμότητα</w:t>
            </w:r>
            <w:r>
              <w:t xml:space="preserve"> </w:t>
            </w:r>
            <w:r>
              <w:t>των</w:t>
            </w:r>
            <w:r>
              <w:t xml:space="preserve"> </w:t>
            </w:r>
            <w:r>
              <w:t>στερεών</w:t>
            </w:r>
            <w:r>
              <w:t xml:space="preserve"> </w:t>
            </w:r>
            <w:r>
              <w:t>αποβλήτων</w:t>
            </w:r>
            <w:r>
              <w:t xml:space="preserve"> </w:t>
            </w:r>
            <w:r>
              <w:t>στην</w:t>
            </w:r>
            <w:r>
              <w:t xml:space="preserve"> </w:t>
            </w:r>
            <w:r>
              <w:t>Ελλάδα</w:t>
            </w:r>
            <w:r>
              <w:t xml:space="preserve"> </w:t>
            </w:r>
            <w:r>
              <w:t>σύμφωνα</w:t>
            </w:r>
            <w:r>
              <w:t xml:space="preserve"> </w:t>
            </w:r>
            <w:r>
              <w:t>με</w:t>
            </w:r>
            <w:r>
              <w:t xml:space="preserve"> </w:t>
            </w:r>
            <w:r>
              <w:t>την</w:t>
            </w:r>
            <w:r>
              <w:t xml:space="preserve"> </w:t>
            </w:r>
            <w:r>
              <w:t>πολιτική</w:t>
            </w:r>
            <w:r>
              <w:t xml:space="preserve"> </w:t>
            </w:r>
            <w:r>
              <w:t>συνοχής</w:t>
            </w:r>
            <w:r>
              <w:t xml:space="preserve"> 2021-2027 </w:t>
            </w:r>
            <w:r>
              <w:t>—</w:t>
            </w:r>
            <w:r>
              <w:t xml:space="preserve"> </w:t>
            </w:r>
            <w:r>
              <w:t>στήριξη</w:t>
            </w:r>
            <w:r>
              <w:t xml:space="preserve"> </w:t>
            </w:r>
            <w:r>
              <w:t>για</w:t>
            </w:r>
            <w:r>
              <w:t xml:space="preserve"> </w:t>
            </w:r>
            <w:r>
              <w:t>τη</w:t>
            </w:r>
            <w:r>
              <w:t xml:space="preserve"> </w:t>
            </w:r>
            <w:r>
              <w:t>θέσπιση</w:t>
            </w:r>
            <w:r>
              <w:t xml:space="preserve"> </w:t>
            </w:r>
            <w:r>
              <w:t>κατευθυντήριων</w:t>
            </w:r>
            <w:r>
              <w:t xml:space="preserve"> </w:t>
            </w:r>
            <w:r>
              <w:t>αρχών</w:t>
            </w:r>
            <w:r>
              <w:t>.</w:t>
            </w:r>
          </w:p>
        </w:tc>
      </w:tr>
      <w:tr w:rsidR="007B1A84" w14:paraId="079E5455" w14:textId="77777777">
        <w:trPr>
          <w:trHeight w:val="1069"/>
        </w:trPr>
        <w:tc>
          <w:tcPr>
            <w:tcW w:w="2836" w:type="dxa"/>
            <w:tcBorders>
              <w:left w:val="nil"/>
              <w:right w:val="single" w:sz="8" w:space="0" w:color="F16421"/>
            </w:tcBorders>
          </w:tcPr>
          <w:p w14:paraId="6F1F7A22" w14:textId="77777777" w:rsidR="007B1A84" w:rsidRDefault="007B1A84" w:rsidP="003E0C33">
            <w:pPr>
              <w:pStyle w:val="TableParagraph"/>
              <w:spacing w:after="120"/>
              <w:rPr>
                <w:rFonts w:ascii="Arial"/>
                <w:b/>
                <w:sz w:val="21"/>
              </w:rPr>
            </w:pPr>
          </w:p>
          <w:p w14:paraId="259D6EAD" w14:textId="77777777" w:rsidR="007B1A84" w:rsidRDefault="002A0261" w:rsidP="003E0C33">
            <w:pPr>
              <w:pStyle w:val="P68B1DB1-TableParagraph2"/>
              <w:spacing w:after="120"/>
              <w:ind w:left="128"/>
            </w:pPr>
            <w:r>
              <w:t>Θέμα:</w:t>
            </w:r>
          </w:p>
        </w:tc>
        <w:tc>
          <w:tcPr>
            <w:tcW w:w="5480" w:type="dxa"/>
            <w:tcBorders>
              <w:left w:val="single" w:sz="8" w:space="0" w:color="F16421"/>
              <w:right w:val="nil"/>
            </w:tcBorders>
          </w:tcPr>
          <w:p w14:paraId="23ABB44C" w14:textId="77777777" w:rsidR="007B1A84" w:rsidRDefault="007B1A84" w:rsidP="003E0C33">
            <w:pPr>
              <w:pStyle w:val="TableParagraph"/>
              <w:spacing w:after="120"/>
              <w:rPr>
                <w:rFonts w:ascii="Arial"/>
                <w:b/>
                <w:sz w:val="21"/>
              </w:rPr>
            </w:pPr>
          </w:p>
          <w:p w14:paraId="1A7B4F4F" w14:textId="09B14D25" w:rsidR="007B1A84" w:rsidRDefault="002A0261" w:rsidP="003E0C33">
            <w:pPr>
              <w:pStyle w:val="P68B1DB1-TableParagraph2"/>
              <w:spacing w:after="120"/>
              <w:ind w:left="118"/>
            </w:pPr>
            <w:r>
              <w:t xml:space="preserve">Σενάρια συμμόρφωσης με τις κρατικές ενισχύσεις για την επεξεργασία των χωριστά συλλεγόμενων ροών αποβλήτων </w:t>
            </w:r>
            <w:r w:rsidR="005D3919">
              <w:rPr>
                <w:lang w:val="el-GR"/>
              </w:rPr>
              <w:t>σε</w:t>
            </w:r>
            <w:r w:rsidR="005D3919">
              <w:t xml:space="preserve"> </w:t>
            </w:r>
            <w:r w:rsidR="005D3919">
              <w:t>Εγκαταστάσεις</w:t>
            </w:r>
            <w:r>
              <w:t xml:space="preserve"> </w:t>
            </w:r>
            <w:r w:rsidR="005D3919">
              <w:rPr>
                <w:lang w:val="el-GR"/>
              </w:rPr>
              <w:t>Α</w:t>
            </w:r>
            <w:r>
              <w:t>νάκτηση</w:t>
            </w:r>
            <w:r w:rsidR="005D3919">
              <w:rPr>
                <w:lang w:val="el-GR"/>
              </w:rPr>
              <w:t>ς</w:t>
            </w:r>
            <w:r>
              <w:t xml:space="preserve"> και </w:t>
            </w:r>
            <w:r w:rsidR="005D3919">
              <w:rPr>
                <w:lang w:val="el-GR"/>
              </w:rPr>
              <w:t>Α</w:t>
            </w:r>
            <w:r>
              <w:t>νακύκλωση</w:t>
            </w:r>
            <w:r w:rsidR="005D3919">
              <w:rPr>
                <w:lang w:val="el-GR"/>
              </w:rPr>
              <w:t xml:space="preserve">ς </w:t>
            </w:r>
            <w:r>
              <w:t>(</w:t>
            </w:r>
            <w:r w:rsidR="005D3919">
              <w:rPr>
                <w:lang w:val="el-GR"/>
              </w:rPr>
              <w:t>ΜΑΑ</w:t>
            </w:r>
            <w:r>
              <w:t>)</w:t>
            </w:r>
          </w:p>
        </w:tc>
      </w:tr>
      <w:tr w:rsidR="007B1A84" w14:paraId="04CC65C2" w14:textId="77777777">
        <w:trPr>
          <w:trHeight w:val="796"/>
        </w:trPr>
        <w:tc>
          <w:tcPr>
            <w:tcW w:w="2836" w:type="dxa"/>
            <w:tcBorders>
              <w:right w:val="single" w:sz="8" w:space="0" w:color="F16421"/>
            </w:tcBorders>
          </w:tcPr>
          <w:p w14:paraId="6015F10E" w14:textId="77777777" w:rsidR="007B1A84" w:rsidRDefault="007B1A84" w:rsidP="003E0C33">
            <w:pPr>
              <w:pStyle w:val="TableParagraph"/>
              <w:spacing w:after="120"/>
              <w:rPr>
                <w:rFonts w:ascii="Arial"/>
                <w:b/>
                <w:sz w:val="21"/>
              </w:rPr>
            </w:pPr>
          </w:p>
          <w:p w14:paraId="44CD9E6C" w14:textId="77777777" w:rsidR="007B1A84" w:rsidRDefault="002A0261" w:rsidP="003E0C33">
            <w:pPr>
              <w:pStyle w:val="P68B1DB1-TableParagraph2"/>
              <w:spacing w:after="120"/>
              <w:ind w:left="118"/>
            </w:pPr>
            <w:r>
              <w:t>Χώρες:</w:t>
            </w:r>
          </w:p>
        </w:tc>
        <w:tc>
          <w:tcPr>
            <w:tcW w:w="5480" w:type="dxa"/>
            <w:tcBorders>
              <w:left w:val="single" w:sz="8" w:space="0" w:color="F16421"/>
              <w:right w:val="nil"/>
            </w:tcBorders>
          </w:tcPr>
          <w:p w14:paraId="1F436423" w14:textId="77777777" w:rsidR="007B1A84" w:rsidRDefault="007B1A84" w:rsidP="003E0C33">
            <w:pPr>
              <w:pStyle w:val="TableParagraph"/>
              <w:spacing w:after="120"/>
              <w:rPr>
                <w:rFonts w:ascii="Arial"/>
                <w:b/>
                <w:sz w:val="21"/>
              </w:rPr>
            </w:pPr>
          </w:p>
          <w:p w14:paraId="77655074" w14:textId="77777777" w:rsidR="007B1A84" w:rsidRDefault="002A0261" w:rsidP="003E0C33">
            <w:pPr>
              <w:pStyle w:val="P68B1DB1-TableParagraph3"/>
              <w:spacing w:after="120"/>
              <w:ind w:left="118"/>
            </w:pPr>
            <w:r>
              <w:t>Ελλάδα</w:t>
            </w:r>
          </w:p>
        </w:tc>
      </w:tr>
      <w:tr w:rsidR="007B1A84" w:rsidRPr="005D3919" w14:paraId="05EF5F90" w14:textId="77777777">
        <w:trPr>
          <w:trHeight w:val="799"/>
        </w:trPr>
        <w:tc>
          <w:tcPr>
            <w:tcW w:w="2836" w:type="dxa"/>
            <w:tcBorders>
              <w:bottom w:val="nil"/>
              <w:right w:val="single" w:sz="8" w:space="0" w:color="F16421"/>
            </w:tcBorders>
          </w:tcPr>
          <w:p w14:paraId="30688172" w14:textId="77777777" w:rsidR="007B1A84" w:rsidRDefault="007B1A84" w:rsidP="003E0C33">
            <w:pPr>
              <w:pStyle w:val="TableParagraph"/>
              <w:spacing w:after="120"/>
              <w:rPr>
                <w:rFonts w:ascii="Arial"/>
                <w:b/>
                <w:sz w:val="21"/>
              </w:rPr>
            </w:pPr>
          </w:p>
          <w:p w14:paraId="343AAE35" w14:textId="77777777" w:rsidR="007B1A84" w:rsidRDefault="002A0261" w:rsidP="003E0C33">
            <w:pPr>
              <w:pStyle w:val="P68B1DB1-TableParagraph2"/>
              <w:spacing w:after="120"/>
              <w:ind w:left="118"/>
            </w:pPr>
            <w:r>
              <w:t>Συντάχθηκε από:</w:t>
            </w:r>
          </w:p>
        </w:tc>
        <w:tc>
          <w:tcPr>
            <w:tcW w:w="5480" w:type="dxa"/>
            <w:tcBorders>
              <w:left w:val="single" w:sz="8" w:space="0" w:color="F16421"/>
              <w:bottom w:val="nil"/>
            </w:tcBorders>
          </w:tcPr>
          <w:p w14:paraId="4A39FF25" w14:textId="77777777" w:rsidR="007B1A84" w:rsidRPr="00E37F8E" w:rsidRDefault="007B1A84" w:rsidP="003E0C33">
            <w:pPr>
              <w:pStyle w:val="TableParagraph"/>
              <w:spacing w:after="120"/>
              <w:rPr>
                <w:rFonts w:ascii="Arial"/>
                <w:b/>
                <w:sz w:val="21"/>
                <w:lang w:val="en-US"/>
              </w:rPr>
            </w:pPr>
          </w:p>
          <w:p w14:paraId="2DFE0AC1" w14:textId="77777777" w:rsidR="007B1A84" w:rsidRPr="00E37F8E" w:rsidRDefault="002A0261" w:rsidP="003E0C33">
            <w:pPr>
              <w:pStyle w:val="P68B1DB1-TableParagraph2"/>
              <w:spacing w:after="120"/>
              <w:ind w:left="118" w:right="361"/>
              <w:rPr>
                <w:lang w:val="en-US"/>
              </w:rPr>
            </w:pPr>
            <w:r w:rsidRPr="00E37F8E">
              <w:rPr>
                <w:lang w:val="en-US"/>
              </w:rPr>
              <w:t xml:space="preserve">Christopher Edge, Alina </w:t>
            </w:r>
            <w:proofErr w:type="spellStart"/>
            <w:r w:rsidRPr="00E37F8E">
              <w:rPr>
                <w:lang w:val="en-US"/>
              </w:rPr>
              <w:t>Oberdörfer</w:t>
            </w:r>
            <w:proofErr w:type="spellEnd"/>
            <w:r w:rsidRPr="00E37F8E">
              <w:rPr>
                <w:lang w:val="en-US"/>
              </w:rPr>
              <w:t xml:space="preserve">, Glenn </w:t>
            </w:r>
            <w:proofErr w:type="spellStart"/>
            <w:r w:rsidRPr="00E37F8E">
              <w:rPr>
                <w:lang w:val="en-US"/>
              </w:rPr>
              <w:t>Orveillon</w:t>
            </w:r>
            <w:proofErr w:type="spellEnd"/>
            <w:r w:rsidRPr="00E37F8E">
              <w:rPr>
                <w:lang w:val="en-US"/>
              </w:rPr>
              <w:t xml:space="preserve">, </w:t>
            </w:r>
            <w:r>
              <w:t>Χρήστος</w:t>
            </w:r>
            <w:r w:rsidRPr="00E37F8E">
              <w:rPr>
                <w:lang w:val="en-US"/>
              </w:rPr>
              <w:t xml:space="preserve"> </w:t>
            </w:r>
            <w:r>
              <w:t>ΠΕΛΙΔΗΣ</w:t>
            </w:r>
            <w:r w:rsidRPr="00E37F8E">
              <w:rPr>
                <w:lang w:val="en-US"/>
              </w:rPr>
              <w:t>, Christian Schempp</w:t>
            </w:r>
          </w:p>
        </w:tc>
      </w:tr>
    </w:tbl>
    <w:p w14:paraId="4B31DBCC" w14:textId="77777777" w:rsidR="007B1A84" w:rsidRPr="00E37F8E" w:rsidRDefault="007B1A84" w:rsidP="003E0C33">
      <w:pPr>
        <w:pStyle w:val="BodyText"/>
        <w:spacing w:after="120"/>
        <w:rPr>
          <w:rFonts w:ascii="Arial"/>
          <w:b/>
          <w:sz w:val="20"/>
          <w:lang w:val="en-US"/>
        </w:rPr>
      </w:pPr>
    </w:p>
    <w:p w14:paraId="52C9FBB2" w14:textId="77777777" w:rsidR="007B1A84" w:rsidRPr="00E37F8E" w:rsidRDefault="007B1A84" w:rsidP="003E0C33">
      <w:pPr>
        <w:pStyle w:val="BodyText"/>
        <w:spacing w:after="120"/>
        <w:rPr>
          <w:rFonts w:ascii="Arial"/>
          <w:b/>
          <w:sz w:val="20"/>
          <w:lang w:val="en-US"/>
        </w:rPr>
      </w:pPr>
    </w:p>
    <w:p w14:paraId="29C9CCA8" w14:textId="77777777" w:rsidR="007B1A84" w:rsidRPr="00E37F8E" w:rsidRDefault="007B1A84" w:rsidP="003E0C33">
      <w:pPr>
        <w:pStyle w:val="BodyText"/>
        <w:spacing w:after="120"/>
        <w:rPr>
          <w:rFonts w:ascii="Arial"/>
          <w:b/>
          <w:sz w:val="20"/>
          <w:lang w:val="en-US"/>
        </w:rPr>
      </w:pPr>
    </w:p>
    <w:p w14:paraId="3DBD1F93" w14:textId="77777777" w:rsidR="007B1A84" w:rsidRPr="00E37F8E" w:rsidRDefault="007B1A84" w:rsidP="003E0C33">
      <w:pPr>
        <w:pStyle w:val="BodyText"/>
        <w:spacing w:after="120"/>
        <w:rPr>
          <w:rFonts w:ascii="Arial"/>
          <w:b/>
          <w:sz w:val="20"/>
          <w:lang w:val="en-US"/>
        </w:rPr>
      </w:pPr>
    </w:p>
    <w:p w14:paraId="1B711C60" w14:textId="77777777" w:rsidR="007B1A84" w:rsidRPr="00E37F8E" w:rsidRDefault="007B1A84" w:rsidP="003E0C33">
      <w:pPr>
        <w:pStyle w:val="BodyText"/>
        <w:spacing w:after="120"/>
        <w:rPr>
          <w:rFonts w:ascii="Arial"/>
          <w:b/>
          <w:sz w:val="20"/>
          <w:lang w:val="en-US"/>
        </w:rPr>
      </w:pPr>
    </w:p>
    <w:p w14:paraId="5D5A5DC6" w14:textId="77777777" w:rsidR="007B1A84" w:rsidRPr="00E37F8E" w:rsidRDefault="007B1A84" w:rsidP="003E0C33">
      <w:pPr>
        <w:pStyle w:val="BodyText"/>
        <w:spacing w:after="120"/>
        <w:rPr>
          <w:rFonts w:ascii="Arial"/>
          <w:b/>
          <w:sz w:val="20"/>
          <w:lang w:val="en-US"/>
        </w:rPr>
      </w:pPr>
    </w:p>
    <w:p w14:paraId="6ECC5908" w14:textId="77777777" w:rsidR="007B1A84" w:rsidRPr="00E37F8E" w:rsidRDefault="007B1A84" w:rsidP="003E0C33">
      <w:pPr>
        <w:pStyle w:val="BodyText"/>
        <w:spacing w:after="120"/>
        <w:rPr>
          <w:rFonts w:ascii="Arial"/>
          <w:b/>
          <w:sz w:val="20"/>
          <w:lang w:val="en-US"/>
        </w:rPr>
      </w:pPr>
    </w:p>
    <w:p w14:paraId="30807B86" w14:textId="77777777" w:rsidR="007B1A84" w:rsidRPr="00E37F8E" w:rsidRDefault="007B1A84" w:rsidP="003E0C33">
      <w:pPr>
        <w:pStyle w:val="BodyText"/>
        <w:spacing w:after="120"/>
        <w:rPr>
          <w:rFonts w:ascii="Arial"/>
          <w:b/>
          <w:sz w:val="20"/>
          <w:lang w:val="en-US"/>
        </w:rPr>
      </w:pPr>
    </w:p>
    <w:p w14:paraId="4C0F81A5" w14:textId="77777777" w:rsidR="007B1A84" w:rsidRPr="00E37F8E" w:rsidRDefault="007B1A84" w:rsidP="003E0C33">
      <w:pPr>
        <w:pStyle w:val="BodyText"/>
        <w:spacing w:after="120"/>
        <w:rPr>
          <w:rFonts w:ascii="Arial"/>
          <w:b/>
          <w:sz w:val="20"/>
          <w:lang w:val="en-US"/>
        </w:rPr>
      </w:pPr>
    </w:p>
    <w:p w14:paraId="09ED791A" w14:textId="77777777" w:rsidR="007B1A84" w:rsidRPr="00E37F8E" w:rsidRDefault="002A0261" w:rsidP="003E0C33">
      <w:pPr>
        <w:pStyle w:val="P68B1DB1-a34"/>
        <w:spacing w:after="120"/>
        <w:rPr>
          <w:lang w:val="en-US"/>
        </w:rPr>
      </w:pPr>
      <w:r>
        <w:rPr>
          <w:noProof/>
        </w:rPr>
        <mc:AlternateContent>
          <mc:Choice Requires="wps">
            <w:drawing>
              <wp:anchor distT="0" distB="0" distL="0" distR="0" simplePos="0" relativeHeight="487587840" behindDoc="1" locked="0" layoutInCell="1" allowOverlap="1" wp14:anchorId="5E554D15" wp14:editId="097B14DF">
                <wp:simplePos x="0" y="0"/>
                <wp:positionH relativeFrom="page">
                  <wp:posOffset>905510</wp:posOffset>
                </wp:positionH>
                <wp:positionV relativeFrom="paragraph">
                  <wp:posOffset>222562</wp:posOffset>
                </wp:positionV>
                <wp:extent cx="5758180" cy="10160"/>
                <wp:effectExtent l="0" t="0" r="0" b="0"/>
                <wp:wrapTopAndBottom/>
                <wp:docPr id="8" name="Γραφική παράσταση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8180" cy="10160"/>
                        </a:xfrm>
                        <a:custGeom>
                          <a:avLst/>
                          <a:gdLst/>
                          <a:ahLst/>
                          <a:cxnLst/>
                          <a:rect l="l" t="t" r="r" b="b"/>
                          <a:pathLst>
                            <a:path w="5758180" h="10160">
                              <a:moveTo>
                                <a:pt x="5758167" y="0"/>
                              </a:moveTo>
                              <a:lnTo>
                                <a:pt x="5748020" y="0"/>
                              </a:lnTo>
                              <a:lnTo>
                                <a:pt x="10160" y="0"/>
                              </a:lnTo>
                              <a:lnTo>
                                <a:pt x="0" y="0"/>
                              </a:lnTo>
                              <a:lnTo>
                                <a:pt x="0" y="10147"/>
                              </a:lnTo>
                              <a:lnTo>
                                <a:pt x="10160" y="10147"/>
                              </a:lnTo>
                              <a:lnTo>
                                <a:pt x="5748020" y="10147"/>
                              </a:lnTo>
                              <a:lnTo>
                                <a:pt x="5758167" y="10147"/>
                              </a:lnTo>
                              <a:lnTo>
                                <a:pt x="5758167" y="0"/>
                              </a:lnTo>
                              <a:close/>
                            </a:path>
                          </a:pathLst>
                        </a:custGeom>
                        <a:solidFill>
                          <a:srgbClr val="A6A6A6"/>
                        </a:solidFill>
                      </wps:spPr>
                      <wps:bodyPr wrap="square" lIns="0" tIns="0" rIns="0" bIns="0" rtlCol="0">
                        <a:prstTxWarp prst="textNoShape">
                          <a:avLst/>
                        </a:prstTxWarp>
                        <a:noAutofit/>
                      </wps:bodyPr>
                    </wps:wsp>
                  </a:graphicData>
                </a:graphic>
              </wp:anchor>
            </w:drawing>
          </mc:Choice>
          <mc:Fallback>
            <w:pict>
              <v:shape w14:anchorId="0F368EBF" id="Γραφική παράσταση 8" o:spid="_x0000_s1026" style="position:absolute;margin-left:71.3pt;margin-top:17.5pt;width:453.4pt;height:.8pt;z-index:-15728640;visibility:visible;mso-wrap-style:square;mso-wrap-distance-left:0;mso-wrap-distance-top:0;mso-wrap-distance-right:0;mso-wrap-distance-bottom:0;mso-position-horizontal:absolute;mso-position-horizontal-relative:page;mso-position-vertical:absolute;mso-position-vertical-relative:text;v-text-anchor:top" coordsize="575818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" path="m5758167,r-10147,l10160,,,,,10147r10160,l5748020,10147r10147,l5758167,xe" fillcolor="#a6a6a6" stroked="f">
                <v:path arrowok="t"/>
                <w10:wrap type="topAndBottom" anchorx="page"/>
              </v:shape>
            </w:pict>
          </mc:Fallback>
        </mc:AlternateContent>
      </w:r>
    </w:p>
    <w:p w14:paraId="764B8BF8" w14:textId="77777777" w:rsidR="007B1A84" w:rsidRDefault="002A0261" w:rsidP="003E0C33">
      <w:pPr>
        <w:spacing w:after="120"/>
        <w:ind w:left="137" w:right="527"/>
        <w:jc w:val="both"/>
        <w:rPr>
          <w:sz w:val="17"/>
        </w:rPr>
      </w:pPr>
      <w:r>
        <w:rPr>
          <w:rFonts w:ascii="Arial"/>
          <w:b/>
          <w:color w:val="808080"/>
          <w:sz w:val="21"/>
        </w:rPr>
        <w:t>Σημείωση</w:t>
      </w:r>
      <w:r>
        <w:rPr>
          <w:rFonts w:ascii="Arial"/>
          <w:b/>
          <w:color w:val="808080"/>
          <w:sz w:val="21"/>
        </w:rPr>
        <w:t xml:space="preserve">: </w:t>
      </w:r>
      <w:r>
        <w:rPr>
          <w:sz w:val="17"/>
        </w:rPr>
        <w:t xml:space="preserve">Η βοήθεια της Jaspers παρέχεται καλή τη πίστει και με εύλογη επιμέλεια και επιμέλεια ( </w:t>
      </w:r>
      <w:r>
        <w:rPr>
          <w:rFonts w:ascii="Arial"/>
          <w:i/>
          <w:sz w:val="17"/>
        </w:rPr>
        <w:t>diligentia quam in suis</w:t>
      </w:r>
      <w:r>
        <w:rPr>
          <w:sz w:val="17"/>
        </w:rPr>
        <w:t>), με βάση την εμπειρία και τις επιχειρηματικές πρακτικές των εταίρων της, της Ευρωπαϊκής Επιτροπής και της Ευρωπαϊκής Τράπεζας Επενδύσεων. Ο δικαιούχος αποδέχεται και συμφωνεί ότι οποιαδήποτε πορεία δράσης θα αποφασιστεί αποκλειστικά από τον δικαιούχο με βάση τη δική του αξιολόγηση του αποτελέσματος των συμβουλών και ότι η JASPERS ή οι εταίροι της δεν είναι υπεύθυνοι και δεν φέρουν καμία ευθύνη για οποιαδήποτε τέτοια απόφαση του δικαιούχου.</w:t>
      </w:r>
    </w:p>
    <w:p w14:paraId="4B45ABC5" w14:textId="77777777" w:rsidR="007B1A84" w:rsidRDefault="002A0261" w:rsidP="003E0C33">
      <w:pPr>
        <w:pStyle w:val="P68B1DB1-a35"/>
        <w:spacing w:after="120"/>
        <w:ind w:left="9"/>
      </w:pPr>
      <w:r>
        <w:rPr>
          <w:noProof/>
        </w:rPr>
        <mc:AlternateContent>
          <mc:Choice Requires="wpg">
            <w:drawing>
              <wp:inline distT="0" distB="0" distL="0" distR="0" wp14:anchorId="51DC5440" wp14:editId="0C98FFA8">
                <wp:extent cx="5758180" cy="10160"/>
                <wp:effectExtent l="0" t="0" r="0" b="0"/>
                <wp:docPr id="9" name="Ομάδα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8180" cy="10160"/>
                          <a:chOff x="0" y="0"/>
                          <a:chExt cx="5758180" cy="10160"/>
                        </a:xfrm>
                      </wpg:grpSpPr>
                      <wps:wsp>
                        <wps:cNvPr id="10" name="Γραφική παράσταση 10"/>
                        <wps:cNvSpPr/>
                        <wps:spPr>
                          <a:xfrm>
                            <a:off x="0" y="0"/>
                            <a:ext cx="5758180" cy="10160"/>
                          </a:xfrm>
                          <a:custGeom>
                            <a:avLst/>
                            <a:gdLst/>
                            <a:ahLst/>
                            <a:cxnLst/>
                            <a:rect l="l" t="t" r="r" b="b"/>
                            <a:pathLst>
                              <a:path w="5758180" h="10160">
                                <a:moveTo>
                                  <a:pt x="5758167" y="0"/>
                                </a:moveTo>
                                <a:lnTo>
                                  <a:pt x="5748020" y="0"/>
                                </a:lnTo>
                                <a:lnTo>
                                  <a:pt x="10160" y="0"/>
                                </a:lnTo>
                                <a:lnTo>
                                  <a:pt x="0" y="0"/>
                                </a:lnTo>
                                <a:lnTo>
                                  <a:pt x="0" y="10160"/>
                                </a:lnTo>
                                <a:lnTo>
                                  <a:pt x="10160" y="10160"/>
                                </a:lnTo>
                                <a:lnTo>
                                  <a:pt x="5748020" y="10160"/>
                                </a:lnTo>
                                <a:lnTo>
                                  <a:pt x="5758167" y="10160"/>
                                </a:lnTo>
                                <a:lnTo>
                                  <a:pt x="5758167" y="0"/>
                                </a:lnTo>
                                <a:close/>
                              </a:path>
                            </a:pathLst>
                          </a:custGeom>
                          <a:solidFill>
                            <a:srgbClr val="A6A6A6"/>
                          </a:solidFill>
                        </wps:spPr>
                        <wps:bodyPr wrap="square" lIns="0" tIns="0" rIns="0" bIns="0" rtlCol="0">
                          <a:prstTxWarp prst="textNoShape">
                            <a:avLst/>
                          </a:prstTxWarp>
                          <a:noAutofit/>
                        </wps:bodyPr>
                      </wps:wsp>
                    </wpg:wgp>
                  </a:graphicData>
                </a:graphic>
              </wp:inline>
            </w:drawing>
          </mc:Choice>
          <mc:Fallback>
            <w:pict>
              <v:group w14:anchorId="11E2517C" id="Ομάδα 9" o:spid="_x0000_s1026" style="width:453.4pt;height:.8pt;mso-position-horizontal-relative:char;mso-position-vertical-relative:line" coordsize="57581,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">
                <v:shape id="Γραφική παράσταση 10" o:spid="_x0000_s1027" style="position:absolute;width:57581;height:101;visibility:visible;mso-wrap-style:square;v-text-anchor:top" coordsize="575818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" path="m5758167,r-10147,l10160,,,,,10160r10160,l5748020,10160r10147,l5758167,xe" fillcolor="#a6a6a6" stroked="f">
                  <v:path arrowok="t"/>
                </v:shape>
                <w10:anchorlock/>
              </v:group>
            </w:pict>
          </mc:Fallback>
        </mc:AlternateContent>
      </w:r>
    </w:p>
    <w:p w14:paraId="4ADB7603" w14:textId="77777777" w:rsidR="007B1A84" w:rsidRDefault="007B1A84" w:rsidP="003E0C33">
      <w:pPr>
        <w:pStyle w:val="BodyText"/>
        <w:spacing w:after="120"/>
        <w:rPr>
          <w:sz w:val="2"/>
        </w:rPr>
        <w:sectPr w:rsidR="007B1A84">
          <w:footerReference w:type="default" r:id="rId11"/>
          <w:type w:val="continuous"/>
          <w:pgSz w:w="11910" w:h="16840"/>
          <w:pgMar w:top="460" w:right="992" w:bottom="1340" w:left="1417" w:header="0" w:footer="1157" w:gutter="0"/>
          <w:pgNumType w:start="1"/>
          <w:cols w:space="720"/>
        </w:sectPr>
      </w:pPr>
    </w:p>
    <w:p w14:paraId="604B3BF0" w14:textId="77777777" w:rsidR="007B1A84" w:rsidRDefault="002A0261" w:rsidP="003E0C33">
      <w:pPr>
        <w:pStyle w:val="P68B1DB1-a6"/>
        <w:spacing w:after="120"/>
        <w:ind w:left="25"/>
      </w:pPr>
      <w:r>
        <w:lastRenderedPageBreak/>
        <w:t>Πίνακας</w:t>
      </w:r>
      <w:r>
        <w:t xml:space="preserve"> </w:t>
      </w:r>
      <w:r>
        <w:t>περιεχομένων</w:t>
      </w:r>
    </w:p>
    <w:sdt>
      <w:sdtPr>
        <w:rPr>
          <w:sz w:val="17"/>
        </w:rPr>
        <w:id w:val="-1191214045"/>
        <w:docPartObj>
          <w:docPartGallery w:val="Table of Contents"/>
          <w:docPartUnique/>
        </w:docPartObj>
      </w:sdtPr>
      <w:sdtEndPr/>
      <w:sdtContent>
        <w:p w14:paraId="414740C7" w14:textId="0D78C914" w:rsidR="007B1A84" w:rsidRDefault="002A0261" w:rsidP="003E0C33">
          <w:pPr>
            <w:pStyle w:val="TOC1"/>
            <w:numPr>
              <w:ilvl w:val="0"/>
              <w:numId w:val="41"/>
            </w:numPr>
            <w:tabs>
              <w:tab w:val="left" w:pos="425"/>
              <w:tab w:val="left" w:leader="dot" w:pos="8964"/>
            </w:tabs>
            <w:spacing w:before="0" w:after="120"/>
            <w:ind w:hanging="400"/>
          </w:pPr>
          <w:hyperlink w:anchor="_bookmark0" w:history="1">
            <w:r>
              <w:t>Ιστορικό</w:t>
            </w:r>
            <w:r>
              <w:tab/>
              <w:t>3</w:t>
            </w:r>
          </w:hyperlink>
        </w:p>
        <w:p w14:paraId="658CDCEB" w14:textId="7D836EAC" w:rsidR="007B1A84" w:rsidRDefault="002A0261" w:rsidP="003E0C33">
          <w:pPr>
            <w:pStyle w:val="TOC2"/>
            <w:numPr>
              <w:ilvl w:val="1"/>
              <w:numId w:val="41"/>
            </w:numPr>
            <w:tabs>
              <w:tab w:val="left" w:pos="745"/>
              <w:tab w:val="left" w:leader="dot" w:pos="8980"/>
            </w:tabs>
            <w:spacing w:before="0" w:after="120"/>
            <w:ind w:left="745" w:hanging="512"/>
          </w:pPr>
          <w:hyperlink w:anchor="_bookmark1" w:history="1">
            <w:r>
              <w:t>Εισαγωγή</w:t>
            </w:r>
            <w:r>
              <w:tab/>
              <w:t>3</w:t>
            </w:r>
          </w:hyperlink>
        </w:p>
        <w:p w14:paraId="68042046" w14:textId="5F45067A" w:rsidR="007B1A84" w:rsidRDefault="002A0261" w:rsidP="003E0C33">
          <w:pPr>
            <w:pStyle w:val="TOC2"/>
            <w:numPr>
              <w:ilvl w:val="1"/>
              <w:numId w:val="41"/>
            </w:numPr>
            <w:tabs>
              <w:tab w:val="left" w:pos="745"/>
              <w:tab w:val="left" w:leader="dot" w:pos="8980"/>
            </w:tabs>
            <w:spacing w:before="0" w:after="120"/>
            <w:ind w:left="745" w:hanging="512"/>
          </w:pPr>
          <w:hyperlink w:anchor="_bookmark2" w:history="1">
            <w:r>
              <w:t>ΣΚΟΠΟΣ και πεδιο ΕΦΑΡΜΟΓΗΣ του ΠΑΡΟΝΤΟΣ GN</w:t>
            </w:r>
            <w:r>
              <w:tab/>
              <w:t>4</w:t>
            </w:r>
          </w:hyperlink>
        </w:p>
        <w:p w14:paraId="015715C5" w14:textId="53C88724" w:rsidR="007B1A84" w:rsidRDefault="002A0261" w:rsidP="003E0C33">
          <w:pPr>
            <w:pStyle w:val="TOC1"/>
            <w:numPr>
              <w:ilvl w:val="0"/>
              <w:numId w:val="41"/>
            </w:numPr>
            <w:tabs>
              <w:tab w:val="left" w:pos="425"/>
              <w:tab w:val="left" w:leader="dot" w:pos="8964"/>
            </w:tabs>
            <w:spacing w:before="0" w:after="120"/>
            <w:ind w:hanging="400"/>
          </w:pPr>
          <w:hyperlink w:anchor="_bookmark3" w:history="1">
            <w:r>
              <w:t>Εφαρμοστέοι στόχοι κρατικών ενισχύσεων</w:t>
            </w:r>
            <w:r>
              <w:tab/>
              <w:t>5</w:t>
            </w:r>
          </w:hyperlink>
        </w:p>
        <w:p w14:paraId="04EACF1B" w14:textId="327AD58C" w:rsidR="007B1A84" w:rsidRDefault="002A0261" w:rsidP="003E0C33">
          <w:pPr>
            <w:pStyle w:val="TOC2"/>
            <w:numPr>
              <w:ilvl w:val="1"/>
              <w:numId w:val="41"/>
            </w:numPr>
            <w:tabs>
              <w:tab w:val="left" w:pos="745"/>
              <w:tab w:val="left" w:leader="dot" w:pos="8980"/>
            </w:tabs>
            <w:spacing w:before="0" w:after="120"/>
            <w:ind w:left="745" w:hanging="512"/>
          </w:pPr>
          <w:hyperlink w:anchor="_bookmark4" w:history="1">
            <w:r>
              <w:t>Εισαγωγή</w:t>
            </w:r>
            <w:r>
              <w:tab/>
              <w:t>5</w:t>
            </w:r>
          </w:hyperlink>
        </w:p>
        <w:p w14:paraId="3F17FC8D" w14:textId="341E196E" w:rsidR="007B1A84" w:rsidRDefault="002A0261" w:rsidP="003E0C33">
          <w:pPr>
            <w:pStyle w:val="TOC2"/>
            <w:numPr>
              <w:ilvl w:val="1"/>
              <w:numId w:val="41"/>
            </w:numPr>
            <w:tabs>
              <w:tab w:val="left" w:pos="745"/>
              <w:tab w:val="left" w:leader="dot" w:pos="8980"/>
            </w:tabs>
            <w:spacing w:before="0" w:after="120"/>
            <w:ind w:left="745" w:hanging="512"/>
          </w:pPr>
          <w:hyperlink w:anchor="_bookmark5" w:history="1">
            <w:r>
              <w:t>Ανάλυση των εφαρμοστέων στόχων για τις κρατικές ενισχύσεις</w:t>
            </w:r>
            <w:r>
              <w:tab/>
              <w:t>6</w:t>
            </w:r>
          </w:hyperlink>
        </w:p>
        <w:p w14:paraId="164085F9" w14:textId="1A48CEFE" w:rsidR="007B1A84" w:rsidRDefault="002A0261" w:rsidP="003E0C33">
          <w:pPr>
            <w:pStyle w:val="TOC1"/>
            <w:numPr>
              <w:ilvl w:val="0"/>
              <w:numId w:val="41"/>
            </w:numPr>
            <w:tabs>
              <w:tab w:val="left" w:pos="425"/>
              <w:tab w:val="left" w:leader="dot" w:pos="8964"/>
            </w:tabs>
            <w:spacing w:before="0" w:after="120"/>
            <w:ind w:hanging="400"/>
          </w:pPr>
          <w:r>
            <w:t>Σενάρια</w:t>
          </w:r>
          <w:hyperlink w:anchor="_bookmark14" w:history="1">
            <w:r>
              <w:t>κρατικών ενισχύσεων</w:t>
            </w:r>
            <w:r>
              <w:tab/>
              <w:t>8</w:t>
            </w:r>
          </w:hyperlink>
        </w:p>
        <w:p w14:paraId="44606664" w14:textId="6EC77D26" w:rsidR="007B1A84" w:rsidRDefault="002A0261" w:rsidP="003E0C33">
          <w:pPr>
            <w:pStyle w:val="TOC2"/>
            <w:numPr>
              <w:ilvl w:val="1"/>
              <w:numId w:val="41"/>
            </w:numPr>
            <w:tabs>
              <w:tab w:val="left" w:pos="745"/>
              <w:tab w:val="left" w:leader="dot" w:pos="8980"/>
            </w:tabs>
            <w:spacing w:before="0" w:after="120"/>
            <w:ind w:left="233" w:right="414" w:firstLine="0"/>
          </w:pPr>
          <w:hyperlink w:anchor="_bookmark16" w:history="1">
            <w:r>
              <w:t>Εκτιμήσεις που συνδέονται με την εφαρμογή των ΥΓΟΣ (απόφαση ΥΓΟΣ, πλαίσιο ΥΓΟΣ και απόφαση Altmark</w:t>
            </w:r>
          </w:hyperlink>
          <w:hyperlink w:anchor="_bookmark16" w:history="1">
            <w:r>
              <w:t>)</w:t>
            </w:r>
            <w:r>
              <w:tab/>
              <w:t>9</w:t>
            </w:r>
          </w:hyperlink>
        </w:p>
        <w:p w14:paraId="4144E85D" w14:textId="3C2DED79" w:rsidR="007B1A84" w:rsidRDefault="002A0261" w:rsidP="003E0C33">
          <w:pPr>
            <w:pStyle w:val="TOC3"/>
            <w:numPr>
              <w:ilvl w:val="2"/>
              <w:numId w:val="41"/>
            </w:numPr>
            <w:tabs>
              <w:tab w:val="left" w:pos="1130"/>
              <w:tab w:val="left" w:leader="dot" w:pos="8964"/>
            </w:tabs>
            <w:spacing w:before="0" w:after="120"/>
          </w:pPr>
          <w:hyperlink w:anchor="_bookmark17" w:history="1">
            <w:r>
              <w:t>Ορισμός μιας ΥΓΟΣ</w:t>
            </w:r>
            <w:r>
              <w:tab/>
              <w:t>9</w:t>
            </w:r>
          </w:hyperlink>
        </w:p>
        <w:p w14:paraId="0B93100E" w14:textId="0AB39C67" w:rsidR="007B1A84" w:rsidRDefault="002A0261" w:rsidP="003E0C33">
          <w:pPr>
            <w:pStyle w:val="TOC3"/>
            <w:numPr>
              <w:ilvl w:val="2"/>
              <w:numId w:val="41"/>
            </w:numPr>
            <w:tabs>
              <w:tab w:val="left" w:pos="1130"/>
              <w:tab w:val="left" w:leader="dot" w:pos="8852"/>
            </w:tabs>
            <w:spacing w:before="0" w:after="120"/>
          </w:pPr>
          <w:r>
            <w:t>Ανάθεση</w:t>
          </w:r>
          <w:hyperlink w:anchor="_bookmark25" w:history="1">
            <w:r>
              <w:t>ΥΓΟΣ</w:t>
            </w:r>
            <w:r>
              <w:tab/>
              <w:t>11</w:t>
            </w:r>
          </w:hyperlink>
        </w:p>
        <w:p w14:paraId="23DB9B84" w14:textId="09B8956E" w:rsidR="007B1A84" w:rsidRDefault="002A0261" w:rsidP="003E0C33">
          <w:pPr>
            <w:pStyle w:val="TOC3"/>
            <w:numPr>
              <w:ilvl w:val="2"/>
              <w:numId w:val="41"/>
            </w:numPr>
            <w:tabs>
              <w:tab w:val="left" w:pos="1130"/>
              <w:tab w:val="left" w:leader="dot" w:pos="8852"/>
            </w:tabs>
            <w:spacing w:before="0" w:after="120"/>
          </w:pPr>
          <w:hyperlink w:anchor="_bookmark31" w:history="1">
            <w:r>
              <w:t>Διάρκεια ανάθεσης ΥΓΟΣ</w:t>
            </w:r>
            <w:r>
              <w:tab/>
              <w:t>13</w:t>
            </w:r>
          </w:hyperlink>
        </w:p>
        <w:p w14:paraId="3AE9D3CC" w14:textId="5FD005A1" w:rsidR="007B1A84" w:rsidRDefault="002A0261" w:rsidP="003E0C33">
          <w:pPr>
            <w:pStyle w:val="TOC3"/>
            <w:numPr>
              <w:ilvl w:val="2"/>
              <w:numId w:val="41"/>
            </w:numPr>
            <w:tabs>
              <w:tab w:val="left" w:pos="1130"/>
              <w:tab w:val="left" w:leader="dot" w:pos="8852"/>
            </w:tabs>
            <w:spacing w:before="0" w:after="120"/>
          </w:pPr>
          <w:hyperlink w:anchor="_bookmark33" w:history="1">
            <w:r>
              <w:t>Αντιστάθμιση ΥΓΟΣ και ανάκτηση υπεραντιστάθμισης</w:t>
            </w:r>
            <w:r>
              <w:tab/>
              <w:t>14</w:t>
            </w:r>
          </w:hyperlink>
        </w:p>
        <w:p w14:paraId="376EFF78" w14:textId="006C4761" w:rsidR="007B1A84" w:rsidRDefault="002A0261" w:rsidP="003E0C33">
          <w:pPr>
            <w:pStyle w:val="TOC2"/>
            <w:numPr>
              <w:ilvl w:val="1"/>
              <w:numId w:val="41"/>
            </w:numPr>
            <w:tabs>
              <w:tab w:val="left" w:pos="745"/>
              <w:tab w:val="left" w:leader="dot" w:pos="8884"/>
            </w:tabs>
            <w:spacing w:before="0" w:after="120"/>
            <w:ind w:left="745" w:hanging="512"/>
          </w:pPr>
          <w:hyperlink w:anchor="_bookmark46" w:history="1">
            <w:r>
              <w:t>Εκτιμήσεις που συνδέονται με την εφαρμογή περιφερειακών επενδυτικών ενισχύσεων (άρθρο 14 του ΓΚΑΚ και των ΚΓΠΕ)</w:t>
            </w:r>
            <w:r>
              <w:tab/>
              <w:t>19</w:t>
            </w:r>
          </w:hyperlink>
        </w:p>
        <w:p w14:paraId="384B6793" w14:textId="2BE1F8F8" w:rsidR="007B1A84" w:rsidRDefault="002A0261" w:rsidP="003E0C33">
          <w:pPr>
            <w:pStyle w:val="TOC2"/>
            <w:numPr>
              <w:ilvl w:val="1"/>
              <w:numId w:val="41"/>
            </w:numPr>
            <w:tabs>
              <w:tab w:val="left" w:pos="745"/>
              <w:tab w:val="left" w:leader="dot" w:pos="8884"/>
            </w:tabs>
            <w:spacing w:before="0" w:after="120"/>
            <w:ind w:left="233" w:right="416" w:firstLine="0"/>
          </w:pPr>
          <w:hyperlink w:anchor="_bookmark51" w:history="1">
            <w:r>
              <w:t>Εκτιμήσεις που συνδέονται με την εφαρμογή κρατικών ενισχύσεων για τη χωριστή συλλογή και διαλογή αποβλήτων,</w:t>
            </w:r>
          </w:hyperlink>
          <w:r>
            <w:t xml:space="preserve"> την </w:t>
          </w:r>
          <w:hyperlink w:anchor="_bookmark51" w:history="1">
            <w:r>
              <w:t>επαναχρησιμοποίηση και την ανακύκλωση αποβλήτων κ.λπ. (άρθρο 47 του ΓΚΑΚ και τμήμα 4.4 των ΚΓΚΕΠΕ)</w:t>
            </w:r>
            <w:r>
              <w:tab/>
              <w:t>21</w:t>
            </w:r>
          </w:hyperlink>
        </w:p>
        <w:p w14:paraId="3FD14918" w14:textId="37EFE167" w:rsidR="007B1A84" w:rsidRDefault="002A0261" w:rsidP="003E0C33">
          <w:pPr>
            <w:pStyle w:val="TOC2"/>
            <w:numPr>
              <w:ilvl w:val="1"/>
              <w:numId w:val="41"/>
            </w:numPr>
            <w:tabs>
              <w:tab w:val="left" w:pos="745"/>
              <w:tab w:val="left" w:leader="dot" w:pos="8884"/>
            </w:tabs>
            <w:spacing w:before="0" w:after="120"/>
            <w:ind w:left="745" w:hanging="512"/>
          </w:pPr>
          <w:hyperlink w:anchor="_bookmark58" w:history="1">
            <w:r>
              <w:t>Εκτιμήσεις που συνδέονται με την εφαρμογή κρατικών ενισχύσεων για τοπικές υποδομές (άρθρο 56 του ΓΚΑΚ)</w:t>
            </w:r>
            <w:r>
              <w:tab/>
              <w:t>23</w:t>
            </w:r>
          </w:hyperlink>
        </w:p>
        <w:p w14:paraId="5AEDFDA0" w14:textId="0BCFF655" w:rsidR="007B1A84" w:rsidRDefault="002A0261" w:rsidP="003E0C33">
          <w:pPr>
            <w:pStyle w:val="TOC2"/>
            <w:numPr>
              <w:ilvl w:val="1"/>
              <w:numId w:val="41"/>
            </w:numPr>
            <w:tabs>
              <w:tab w:val="left" w:pos="745"/>
              <w:tab w:val="left" w:leader="dot" w:pos="8884"/>
            </w:tabs>
            <w:spacing w:before="0" w:after="120"/>
            <w:ind w:left="745" w:hanging="512"/>
          </w:pPr>
          <w:hyperlink w:anchor="_bookmark62" w:history="1">
            <w:r>
              <w:t>Σύνοψη των εναλλακτικών στόχων κρατικών ενισχύσεων για τη στήριξη των ΜΑΑ</w:t>
            </w:r>
            <w:r>
              <w:tab/>
              <w:t>25</w:t>
            </w:r>
          </w:hyperlink>
        </w:p>
        <w:p w14:paraId="7727D025" w14:textId="126E2FC7" w:rsidR="007B1A84" w:rsidRDefault="002A0261" w:rsidP="003E0C33">
          <w:pPr>
            <w:pStyle w:val="TOC1"/>
            <w:numPr>
              <w:ilvl w:val="0"/>
              <w:numId w:val="41"/>
            </w:numPr>
            <w:tabs>
              <w:tab w:val="left" w:pos="425"/>
              <w:tab w:val="left" w:leader="dot" w:pos="8852"/>
            </w:tabs>
            <w:spacing w:before="0" w:after="120"/>
            <w:ind w:hanging="400"/>
          </w:pPr>
          <w:hyperlink w:anchor="_bookmark63" w:history="1">
            <w:r>
              <w:t>Συνδυασμός διαφορετικών στόχων κρατικών ενισχύσεων σε περίπτωση αδιαχώριστης διάρθρωσης</w:t>
            </w:r>
            <w:r>
              <w:tab/>
              <w:t>26</w:t>
            </w:r>
          </w:hyperlink>
        </w:p>
        <w:p w14:paraId="4D69004B" w14:textId="2C962379" w:rsidR="007B1A84" w:rsidRDefault="002A0261" w:rsidP="003E0C33">
          <w:pPr>
            <w:pStyle w:val="TOC1"/>
            <w:numPr>
              <w:ilvl w:val="0"/>
              <w:numId w:val="41"/>
            </w:numPr>
            <w:tabs>
              <w:tab w:val="left" w:pos="425"/>
              <w:tab w:val="left" w:leader="dot" w:pos="8852"/>
            </w:tabs>
            <w:spacing w:before="0" w:after="120"/>
            <w:ind w:hanging="400"/>
          </w:pPr>
          <w:hyperlink w:anchor="_bookmark65" w:history="1">
            <w:r>
              <w:t>Υποχρέωση διαχωρισμού των λογαριασμών και των δαπανών μεταξύ των διαφόρων δραστηριοτήτων</w:t>
            </w:r>
            <w:r>
              <w:tab/>
              <w:t>28</w:t>
            </w:r>
          </w:hyperlink>
        </w:p>
        <w:p w14:paraId="503D29F7" w14:textId="00E0A1E7" w:rsidR="007B1A84" w:rsidRDefault="002A0261" w:rsidP="003E0C33">
          <w:pPr>
            <w:pStyle w:val="TOC1"/>
            <w:numPr>
              <w:ilvl w:val="0"/>
              <w:numId w:val="41"/>
            </w:numPr>
            <w:tabs>
              <w:tab w:val="left" w:pos="425"/>
              <w:tab w:val="left" w:leader="dot" w:pos="8852"/>
            </w:tabs>
            <w:spacing w:before="0" w:after="120"/>
            <w:ind w:hanging="400"/>
          </w:pPr>
          <w:hyperlink w:anchor="_bookmark68" w:history="1">
            <w:r>
              <w:t>Συμπεράσματα και συστάσεις</w:t>
            </w:r>
            <w:r>
              <w:tab/>
              <w:t>30</w:t>
            </w:r>
          </w:hyperlink>
        </w:p>
        <w:p w14:paraId="557FD813" w14:textId="2928D7DF" w:rsidR="007B1A84" w:rsidRDefault="002A0261" w:rsidP="003E0C33">
          <w:pPr>
            <w:pStyle w:val="TOC1"/>
            <w:tabs>
              <w:tab w:val="left" w:leader="dot" w:pos="8852"/>
            </w:tabs>
            <w:spacing w:before="0" w:after="120"/>
            <w:ind w:left="25" w:firstLine="0"/>
          </w:pPr>
          <w:hyperlink w:anchor="_bookmark69" w:history="1">
            <w:r>
              <w:t>ΠΑΡΑΡΤΉΜΑΤΑ</w:t>
            </w:r>
            <w:r>
              <w:tab/>
              <w:t>31</w:t>
            </w:r>
          </w:hyperlink>
        </w:p>
        <w:p w14:paraId="24912799" w14:textId="3972C4C8" w:rsidR="007B1A84" w:rsidRDefault="002A0261" w:rsidP="003E0C33">
          <w:pPr>
            <w:pStyle w:val="TOC2"/>
            <w:tabs>
              <w:tab w:val="left" w:leader="dot" w:pos="8884"/>
            </w:tabs>
            <w:spacing w:before="0" w:after="120"/>
            <w:ind w:left="233" w:firstLine="0"/>
          </w:pPr>
          <w:hyperlink w:anchor="_bookmark70" w:history="1">
            <w:r>
              <w:t>Παράρτημα 1 Κατευθυντήριες γραμμές προς τις ελληνικές αρχές σχετικά με τις εφαρμοστέες εναλλακτικές λύσεις για τη χορήγηση κρατικής ενίσχυσης στους ΜΑΑ</w:t>
            </w:r>
            <w:r>
              <w:tab/>
              <w:t>31</w:t>
            </w:r>
          </w:hyperlink>
        </w:p>
        <w:p w14:paraId="6FA8D220" w14:textId="4F6CF262" w:rsidR="007B1A84" w:rsidRDefault="002A0261" w:rsidP="003E0C33">
          <w:pPr>
            <w:pStyle w:val="TOC2"/>
            <w:tabs>
              <w:tab w:val="left" w:leader="dot" w:pos="8884"/>
            </w:tabs>
            <w:spacing w:before="0" w:after="120"/>
            <w:ind w:left="233" w:right="416" w:firstLine="0"/>
          </w:pPr>
          <w:hyperlink w:anchor="_bookmark76" w:history="1">
            <w:r>
              <w:t xml:space="preserve">Παράρτημα 2, Επίπεδα αξιολόγησης της συμβατότητας των κρατικών ενισχύσεων (ΥΓΟΣ) όταν </w:t>
            </w:r>
            <w:hyperlink w:anchor="_bookmark76" w:history="1">
              <w:r>
                <w:t>προγραμματίζονται επενδύσεις σε υποδομές</w:t>
              </w:r>
            </w:hyperlink>
            <w:r>
              <w:tab/>
              <w:t>39</w:t>
            </w:r>
          </w:hyperlink>
        </w:p>
        <w:p w14:paraId="3A9202A5" w14:textId="642FA1A4" w:rsidR="007B1A84" w:rsidRDefault="002A0261" w:rsidP="003E0C33">
          <w:pPr>
            <w:pStyle w:val="TOC2"/>
            <w:tabs>
              <w:tab w:val="left" w:leader="dot" w:pos="8884"/>
            </w:tabs>
            <w:spacing w:before="0" w:after="120"/>
            <w:ind w:left="233" w:firstLine="0"/>
          </w:pPr>
          <w:hyperlink w:anchor="_bookmark85" w:history="1">
            <w:r>
              <w:t>Παράρτημα 3 Παραδείγματα διαχωρισμού λογαριασμών</w:t>
            </w:r>
            <w:r>
              <w:tab/>
              <w:t>42</w:t>
            </w:r>
          </w:hyperlink>
        </w:p>
      </w:sdtContent>
    </w:sdt>
    <w:p w14:paraId="0E7C58E0" w14:textId="77777777" w:rsidR="007B1A84" w:rsidRDefault="007B1A84" w:rsidP="003E0C33">
      <w:pPr>
        <w:pStyle w:val="TOC2"/>
        <w:spacing w:before="0" w:after="120"/>
        <w:sectPr w:rsidR="007B1A84">
          <w:pgSz w:w="11910" w:h="16840"/>
          <w:pgMar w:top="1480" w:right="992" w:bottom="1340" w:left="1417" w:header="0" w:footer="1157" w:gutter="0"/>
          <w:cols w:space="720"/>
        </w:sectPr>
      </w:pPr>
    </w:p>
    <w:p w14:paraId="536A3030" w14:textId="77777777" w:rsidR="007B1A84" w:rsidRDefault="002A0261" w:rsidP="003E0C33">
      <w:pPr>
        <w:pStyle w:val="Heading2"/>
        <w:numPr>
          <w:ilvl w:val="0"/>
          <w:numId w:val="40"/>
        </w:numPr>
        <w:tabs>
          <w:tab w:val="left" w:pos="376"/>
        </w:tabs>
        <w:spacing w:after="120"/>
        <w:ind w:left="376" w:hanging="351"/>
        <w:rPr>
          <w:color w:val="FF4000"/>
        </w:rPr>
      </w:pPr>
      <w:bookmarkStart w:id="0" w:name="_bookmark0"/>
      <w:bookmarkEnd w:id="0"/>
      <w:r>
        <w:lastRenderedPageBreak/>
        <w:t>Ιστορικό</w:t>
      </w:r>
    </w:p>
    <w:p w14:paraId="2BC77EBA" w14:textId="77777777" w:rsidR="007B1A84" w:rsidRDefault="007B1A84" w:rsidP="003E0C33">
      <w:pPr>
        <w:pStyle w:val="BodyText"/>
        <w:spacing w:after="120"/>
        <w:rPr>
          <w:rFonts w:ascii="Arial"/>
          <w:b/>
          <w:sz w:val="24"/>
        </w:rPr>
      </w:pPr>
    </w:p>
    <w:p w14:paraId="2917C998" w14:textId="77777777" w:rsidR="007B1A84" w:rsidRDefault="002A0261" w:rsidP="003E0C33">
      <w:pPr>
        <w:pStyle w:val="Heading4"/>
        <w:numPr>
          <w:ilvl w:val="1"/>
          <w:numId w:val="40"/>
        </w:numPr>
        <w:tabs>
          <w:tab w:val="left" w:pos="601"/>
        </w:tabs>
        <w:spacing w:after="120"/>
        <w:ind w:hanging="576"/>
      </w:pPr>
      <w:bookmarkStart w:id="1" w:name="_bookmark1"/>
      <w:bookmarkEnd w:id="1"/>
      <w:r>
        <w:t>Εισαγωγή</w:t>
      </w:r>
    </w:p>
    <w:p w14:paraId="33BF2292" w14:textId="77777777" w:rsidR="00B70EFD" w:rsidRPr="00B70EFD" w:rsidRDefault="00B70EFD" w:rsidP="00B70EFD">
      <w:pPr>
        <w:pStyle w:val="BodyText"/>
        <w:spacing w:after="120"/>
        <w:ind w:left="25" w:right="391"/>
        <w:rPr>
          <w:lang w:val="el-GR"/>
        </w:rPr>
      </w:pPr>
      <w:r w:rsidRPr="00B70EFD">
        <w:rPr>
          <w:lang w:val="el-GR"/>
        </w:rPr>
        <w:t>Ο κανονισμός 2021/1058 της ΕΕ για το Ευρωπαϊκό Ταμείο Περιφερειακής Ανάπτυξης και το Ταμείο Συνοχής (κανονισμός 2021/1058 της ΕΕ) προβλέπει στο άρθρο 7 στοιχείο ζ) ότι οι ακόλουθες επενδύσεις εξαιρούνται από τη στήριξη:</w:t>
      </w:r>
    </w:p>
    <w:p w14:paraId="469E0930" w14:textId="77777777" w:rsidR="00B70EFD" w:rsidRPr="00B70EFD" w:rsidRDefault="00B70EFD" w:rsidP="00B70EFD">
      <w:pPr>
        <w:pStyle w:val="BodyText"/>
        <w:spacing w:after="120"/>
        <w:ind w:left="25" w:right="391"/>
        <w:rPr>
          <w:i/>
          <w:lang w:val="el-GR"/>
        </w:rPr>
      </w:pPr>
      <w:r w:rsidRPr="00B70EFD">
        <w:rPr>
          <w:lang w:val="el-GR"/>
        </w:rPr>
        <w:t>«</w:t>
      </w:r>
      <w:r w:rsidRPr="00B70EFD">
        <w:rPr>
          <w:i/>
          <w:lang w:val="el-GR"/>
        </w:rPr>
        <w:t>επενδύσεις που αυξάνουν την ικανότητα των εγκαταστάσεων επεξεργασίας υπολειμματικών αποβλήτων, εκτός από:</w:t>
      </w:r>
    </w:p>
    <w:p w14:paraId="37D36196" w14:textId="77777777" w:rsidR="00B70EFD" w:rsidRPr="00B70EFD" w:rsidRDefault="00B70EFD" w:rsidP="00B70EFD">
      <w:pPr>
        <w:pStyle w:val="BodyText"/>
        <w:numPr>
          <w:ilvl w:val="0"/>
          <w:numId w:val="42"/>
        </w:numPr>
        <w:spacing w:after="120"/>
        <w:ind w:right="391"/>
        <w:rPr>
          <w:i/>
          <w:lang w:val="el-GR"/>
        </w:rPr>
      </w:pPr>
      <w:r w:rsidRPr="00B70EFD">
        <w:rPr>
          <w:i/>
          <w:lang w:val="el-GR"/>
        </w:rPr>
        <w:t>τις εξόχως απόκεντρες περιοχές μόνο σε δεόντως αιτιολογημένες περιπτώσεις·</w:t>
      </w:r>
    </w:p>
    <w:p w14:paraId="43538797" w14:textId="77777777" w:rsidR="00B70EFD" w:rsidRPr="00B70EFD" w:rsidRDefault="00B70EFD" w:rsidP="00B70EFD">
      <w:pPr>
        <w:pStyle w:val="BodyText"/>
        <w:numPr>
          <w:ilvl w:val="0"/>
          <w:numId w:val="42"/>
        </w:numPr>
        <w:spacing w:after="120"/>
        <w:ind w:right="391"/>
        <w:jc w:val="both"/>
        <w:rPr>
          <w:lang w:val="el-GR"/>
        </w:rPr>
      </w:pPr>
      <w:r w:rsidRPr="00B70EFD">
        <w:rPr>
          <w:i/>
          <w:lang w:val="el-GR"/>
        </w:rPr>
        <w:t>επενδύσεις σε τεχνολογίες για την ανάκτηση υλικών από υπολειμματικά απόβλητα για σκοπούς κυκλικής οικονομίας</w:t>
      </w:r>
      <w:r w:rsidRPr="00B70EFD">
        <w:rPr>
          <w:lang w:val="el-GR"/>
        </w:rPr>
        <w:t>».</w:t>
      </w:r>
    </w:p>
    <w:p w14:paraId="76858C5C" w14:textId="77777777" w:rsidR="00B70EFD" w:rsidRPr="00B70EFD" w:rsidRDefault="00B70EFD" w:rsidP="00A75996">
      <w:pPr>
        <w:pStyle w:val="BodyText"/>
        <w:spacing w:after="120"/>
        <w:ind w:left="25" w:right="391"/>
        <w:jc w:val="both"/>
        <w:rPr>
          <w:lang w:val="el-GR"/>
        </w:rPr>
      </w:pPr>
      <w:r w:rsidRPr="00B70EFD">
        <w:rPr>
          <w:lang w:val="el-GR"/>
        </w:rPr>
        <w:t xml:space="preserve">Η ερμηνεία της </w:t>
      </w:r>
      <w:r w:rsidRPr="00B70EFD">
        <w:rPr>
          <w:lang w:val="en-US"/>
        </w:rPr>
        <w:t>DG</w:t>
      </w:r>
      <w:r w:rsidRPr="00B70EFD">
        <w:rPr>
          <w:lang w:val="el-GR"/>
        </w:rPr>
        <w:t xml:space="preserve"> </w:t>
      </w:r>
      <w:r w:rsidRPr="00B70EFD">
        <w:rPr>
          <w:lang w:val="en-US"/>
        </w:rPr>
        <w:t>Regio</w:t>
      </w:r>
      <w:r w:rsidRPr="00B70EFD">
        <w:rPr>
          <w:lang w:val="el-GR"/>
        </w:rPr>
        <w:t xml:space="preserve"> του άρθρου 7 στοιχείο ζ) του κανονισμού (ΕΕ) 2021/1058 με </w:t>
      </w:r>
      <w:r w:rsidRPr="00B70EFD">
        <w:rPr>
          <w:lang w:val="en-US"/>
        </w:rPr>
        <w:t>non</w:t>
      </w:r>
      <w:r w:rsidRPr="00B70EFD">
        <w:rPr>
          <w:lang w:val="el-GR"/>
        </w:rPr>
        <w:t>-</w:t>
      </w:r>
      <w:r w:rsidRPr="00B70EFD">
        <w:rPr>
          <w:lang w:val="en-US"/>
        </w:rPr>
        <w:t>paper</w:t>
      </w:r>
      <w:r w:rsidRPr="00B70EFD">
        <w:rPr>
          <w:lang w:val="el-GR"/>
        </w:rPr>
        <w:t xml:space="preserve"> που εκδόθηκε τον Μάιο του 2022 θεωρεί ότι η στήριξη από το ΕΤΠΑ και το Ταμείο Συνοχής μπορεί κατ’ εξαίρεση να παρέχεται για νέες εγκαταστάσεις που θα επεξεργάζονται τόσο τα υπολειμματικά απόβλητα όσο και τα χωριστά συλλεγόμενα απόβλητα, με κατ’ αναλογία (</w:t>
      </w:r>
      <w:r w:rsidRPr="00B70EFD">
        <w:rPr>
          <w:lang w:val="en-GB"/>
        </w:rPr>
        <w:t>pro</w:t>
      </w:r>
      <w:r w:rsidRPr="00B70EFD">
        <w:rPr>
          <w:lang w:val="el-GR"/>
        </w:rPr>
        <w:t xml:space="preserve"> </w:t>
      </w:r>
      <w:r w:rsidRPr="00B70EFD">
        <w:rPr>
          <w:lang w:val="en-GB"/>
        </w:rPr>
        <w:t>rata</w:t>
      </w:r>
      <w:r w:rsidRPr="00B70EFD">
        <w:rPr>
          <w:lang w:val="el-GR"/>
        </w:rPr>
        <w:t xml:space="preserve">) συμμετοχή, σε πολύ περιορισμένο αριθμό κρατών μελών (ΚΜ). Το </w:t>
      </w:r>
      <w:r w:rsidRPr="00B70EFD">
        <w:rPr>
          <w:lang w:val="en-US"/>
        </w:rPr>
        <w:t>non</w:t>
      </w:r>
      <w:r w:rsidRPr="00B70EFD">
        <w:rPr>
          <w:lang w:val="el-GR"/>
        </w:rPr>
        <w:t>-</w:t>
      </w:r>
      <w:r w:rsidRPr="00B70EFD">
        <w:rPr>
          <w:lang w:val="en-US"/>
        </w:rPr>
        <w:t xml:space="preserve">paper </w:t>
      </w:r>
      <w:r w:rsidRPr="00B70EFD">
        <w:rPr>
          <w:lang w:val="el-GR"/>
        </w:rPr>
        <w:t>ορίζει επίσης τα εξής:</w:t>
      </w:r>
    </w:p>
    <w:p w14:paraId="7C66A3D3" w14:textId="77777777" w:rsidR="00B70EFD" w:rsidRPr="00B70EFD" w:rsidRDefault="00B70EFD" w:rsidP="00B70EFD">
      <w:pPr>
        <w:pStyle w:val="BodyText"/>
        <w:numPr>
          <w:ilvl w:val="0"/>
          <w:numId w:val="43"/>
        </w:numPr>
        <w:spacing w:after="120"/>
        <w:ind w:right="391"/>
        <w:rPr>
          <w:lang w:val="el-GR"/>
        </w:rPr>
      </w:pPr>
      <w:r w:rsidRPr="00B70EFD">
        <w:rPr>
          <w:lang w:val="el-GR"/>
        </w:rPr>
        <w:t>Την ανάγκη θέσπισης κατευθυντήριων αρχών για την πρακτική εφαρμογή των κριτηρίων επιλεξιμότητας και της κατ’’αναλογία (</w:t>
      </w:r>
      <w:r w:rsidRPr="00B70EFD">
        <w:rPr>
          <w:lang w:val="en-US"/>
        </w:rPr>
        <w:t>pro</w:t>
      </w:r>
      <w:r w:rsidRPr="00B70EFD">
        <w:rPr>
          <w:lang w:val="el-GR"/>
        </w:rPr>
        <w:t xml:space="preserve"> </w:t>
      </w:r>
      <w:r w:rsidRPr="00B70EFD">
        <w:rPr>
          <w:lang w:val="en-US"/>
        </w:rPr>
        <w:t>rata</w:t>
      </w:r>
      <w:r w:rsidRPr="00B70EFD">
        <w:rPr>
          <w:lang w:val="el-GR"/>
        </w:rPr>
        <w:t>) συμμετοχής.</w:t>
      </w:r>
    </w:p>
    <w:p w14:paraId="08A7BFFB" w14:textId="77777777" w:rsidR="00B70EFD" w:rsidRPr="00B70EFD" w:rsidRDefault="00B70EFD" w:rsidP="00B70EFD">
      <w:pPr>
        <w:pStyle w:val="BodyText"/>
        <w:numPr>
          <w:ilvl w:val="0"/>
          <w:numId w:val="43"/>
        </w:numPr>
        <w:spacing w:after="120"/>
        <w:ind w:right="391"/>
        <w:rPr>
          <w:lang w:val="el-GR"/>
        </w:rPr>
      </w:pPr>
      <w:r w:rsidRPr="00B70EFD">
        <w:rPr>
          <w:lang w:val="el-GR"/>
        </w:rPr>
        <w:t>Η ομάδα JASPERS να υποστηρίξει την Επιτροπή στη θέσπιση των κατευθυντήριων αρχών.</w:t>
      </w:r>
    </w:p>
    <w:p w14:paraId="267CAA12" w14:textId="77777777" w:rsidR="00B70EFD" w:rsidRPr="00B70EFD" w:rsidRDefault="00B70EFD" w:rsidP="00B70EFD">
      <w:pPr>
        <w:pStyle w:val="BodyText"/>
        <w:numPr>
          <w:ilvl w:val="0"/>
          <w:numId w:val="43"/>
        </w:numPr>
        <w:spacing w:after="120"/>
        <w:ind w:right="391"/>
        <w:rPr>
          <w:lang w:val="el-GR"/>
        </w:rPr>
      </w:pPr>
      <w:r w:rsidRPr="00B70EFD">
        <w:rPr>
          <w:lang w:val="el-GR"/>
        </w:rPr>
        <w:t>Η ομάδα JASPERS μπορεί να στηρίζει τις διαχειριστικές αρχές στην αξιολόγηση της αξιοπιστίας των εκτιμήσεων που υποβάλλουν οι δικαιούχοι.</w:t>
      </w:r>
    </w:p>
    <w:p w14:paraId="1532A9B7" w14:textId="17953C9F" w:rsidR="00B70EFD" w:rsidRDefault="00B70EFD" w:rsidP="00B70EFD">
      <w:pPr>
        <w:pStyle w:val="BodyText"/>
        <w:spacing w:after="120"/>
        <w:ind w:left="25" w:right="391"/>
        <w:jc w:val="both"/>
        <w:rPr>
          <w:lang w:val="el-GR"/>
        </w:rPr>
      </w:pPr>
      <w:r w:rsidRPr="00B70EFD">
        <w:rPr>
          <w:lang w:val="el-GR"/>
        </w:rPr>
        <w:t xml:space="preserve">Ως εκ τούτου, τον Ιούλιο του 2022, η </w:t>
      </w:r>
      <w:r w:rsidRPr="00B70EFD">
        <w:rPr>
          <w:lang w:val="en-US"/>
        </w:rPr>
        <w:t>DG</w:t>
      </w:r>
      <w:r w:rsidRPr="00B70EFD">
        <w:rPr>
          <w:lang w:val="el-GR"/>
        </w:rPr>
        <w:t xml:space="preserve"> </w:t>
      </w:r>
      <w:r w:rsidRPr="00B70EFD">
        <w:rPr>
          <w:lang w:val="en-US"/>
        </w:rPr>
        <w:t>Regio</w:t>
      </w:r>
      <w:r w:rsidRPr="00B70EFD">
        <w:rPr>
          <w:lang w:val="el-GR"/>
        </w:rPr>
        <w:t xml:space="preserve"> ανέθεσε </w:t>
      </w:r>
      <w:r w:rsidRPr="00B70EFD">
        <w:rPr>
          <w:iCs/>
          <w:lang w:val="el-GR"/>
        </w:rPr>
        <w:t>στην ομάδα JASPERS τη</w:t>
      </w:r>
      <w:r w:rsidRPr="00B70EFD">
        <w:rPr>
          <w:i/>
          <w:lang w:val="el-GR"/>
        </w:rPr>
        <w:t xml:space="preserve"> «Στήριξη για τη θέσπιση κατευθυντήριων αρχών για την εφαρμογή της περιορισμένης επιλεξιμότητας της επεξεργασίας στερεών αποβλήτων στην πολιτική συνοχής 2021-2027</w:t>
      </w:r>
      <w:r w:rsidRPr="00B70EFD">
        <w:rPr>
          <w:lang w:val="el-GR"/>
        </w:rPr>
        <w:t>».</w:t>
      </w:r>
    </w:p>
    <w:p w14:paraId="4187C7C9" w14:textId="3CE41627" w:rsidR="007B1A84" w:rsidRDefault="002A0261" w:rsidP="00A75996">
      <w:pPr>
        <w:pStyle w:val="BodyText"/>
        <w:spacing w:after="120"/>
        <w:ind w:left="25" w:right="391"/>
        <w:jc w:val="both"/>
      </w:pPr>
      <w:r>
        <w:t>Το καθοδηγητικό σημείωμα 2 της εν λόγω ανάθεσης, της 1ης Αυγούστου 2023, με τίτλο «</w:t>
      </w:r>
      <w:r>
        <w:rPr>
          <w:rFonts w:ascii="Arial" w:hAnsi="Arial"/>
          <w:i/>
        </w:rPr>
        <w:t xml:space="preserve">Κατευθυντήριες αρχές για την εφαρμογή της περιορισμένης επιλεξιμότητας της επεξεργασίας στερεών αποβλήτων στην πολιτική συνοχής 2021-2027», </w:t>
      </w:r>
      <w:r>
        <w:t>αναπτύσσει τις γενικές κατευθυντήριες αρχές για τη στήριξη της ΕΕ για επιλέξιμα έργα επεξεργασίας αποβλήτων κατά την περίοδο 2021-2027, συμπεριλαμβανομένου του ορισμού νέων εγκαταστάσεων ανάκτησης και ανακύκλωσης (ΜΑΑ). Οι γενικές κατευθυντήριες αρχές περιλαμβάνουν τα ακόλουθα:</w:t>
      </w:r>
    </w:p>
    <w:p w14:paraId="600CF743" w14:textId="77777777" w:rsidR="00A75996" w:rsidRPr="00A75996" w:rsidRDefault="00A75996" w:rsidP="00A75996">
      <w:pPr>
        <w:pStyle w:val="BodyText"/>
        <w:numPr>
          <w:ilvl w:val="1"/>
          <w:numId w:val="43"/>
        </w:numPr>
        <w:spacing w:after="120"/>
        <w:ind w:right="401"/>
        <w:jc w:val="both"/>
        <w:rPr>
          <w:lang w:val="el-GR"/>
        </w:rPr>
      </w:pPr>
      <w:r w:rsidRPr="00A75996">
        <w:rPr>
          <w:lang w:val="el-GR"/>
        </w:rPr>
        <w:t>ΤΕΧΝΙΚΟΙ ΟΡΟΙ — ΤΕΧΝΙΚΕΣ ΠΡΟΔΙΑΓΡΑΦΕΣ και ΕΙΔΙΚΟΙ ΟΡΟΙ</w:t>
      </w:r>
    </w:p>
    <w:p w14:paraId="6C769E6D" w14:textId="77777777" w:rsidR="00A75996" w:rsidRPr="00A75996" w:rsidRDefault="00A75996" w:rsidP="00A75996">
      <w:pPr>
        <w:pStyle w:val="BodyText"/>
        <w:numPr>
          <w:ilvl w:val="1"/>
          <w:numId w:val="43"/>
        </w:numPr>
        <w:spacing w:after="120"/>
        <w:ind w:right="401"/>
        <w:jc w:val="both"/>
        <w:rPr>
          <w:lang w:val="el-GR"/>
        </w:rPr>
      </w:pPr>
      <w:r w:rsidRPr="00A75996">
        <w:rPr>
          <w:lang w:val="el-GR"/>
        </w:rPr>
        <w:t>Στοιχεία που αφορούν τις κρατικές ενισχύσεις</w:t>
      </w:r>
    </w:p>
    <w:p w14:paraId="1DA8BAAE" w14:textId="77777777" w:rsidR="00A75996" w:rsidRPr="00A75996" w:rsidRDefault="00A75996" w:rsidP="00A75996">
      <w:pPr>
        <w:pStyle w:val="BodyText"/>
        <w:numPr>
          <w:ilvl w:val="1"/>
          <w:numId w:val="43"/>
        </w:numPr>
        <w:spacing w:after="120"/>
        <w:ind w:left="1254" w:right="403"/>
        <w:jc w:val="both"/>
        <w:rPr>
          <w:lang w:val="el-GR"/>
        </w:rPr>
      </w:pPr>
      <w:r w:rsidRPr="00A75996">
        <w:rPr>
          <w:lang w:val="el-GR"/>
        </w:rPr>
        <w:t>Υπολογισμός της επιχορήγησης.</w:t>
      </w:r>
    </w:p>
    <w:p w14:paraId="6A2681EE" w14:textId="77777777" w:rsidR="00A75996" w:rsidRPr="00A75996" w:rsidRDefault="00A75996" w:rsidP="00A75996">
      <w:pPr>
        <w:pStyle w:val="BodyText"/>
        <w:spacing w:after="120"/>
        <w:ind w:left="25" w:right="391"/>
        <w:jc w:val="both"/>
        <w:rPr>
          <w:rFonts w:ascii="Arial" w:hAnsi="Arial"/>
          <w:iCs/>
          <w:lang w:val="el-GR"/>
        </w:rPr>
      </w:pPr>
      <w:r w:rsidRPr="00A75996">
        <w:rPr>
          <w:rFonts w:ascii="Arial" w:hAnsi="Arial"/>
          <w:iCs/>
        </w:rPr>
        <w:t xml:space="preserve">Οι γενικές κατευθυντήριες αρχές παρουσιάστηκαν και συμφωνήθηκαν από εκπροσώπους της DG REGIO (Μονάδα Κροατίας και Ρουμανίας — REGIO.E.2 και της Μονάδας Κύπρου και Ελλάδας — REGIO.G.3) και της DG ENV (Μονάδα «Από τα απόβλητα στους πόρους» — ENV.B3 και μονάδα «Πράσινη χρηματοδότηση και επενδύσεις» — ENV.E.1). </w:t>
      </w:r>
    </w:p>
    <w:p w14:paraId="197787AB" w14:textId="54FF888E" w:rsidR="00A75996" w:rsidRPr="00A75996" w:rsidRDefault="00A75996" w:rsidP="00A75996">
      <w:pPr>
        <w:pStyle w:val="BodyText"/>
        <w:spacing w:after="120"/>
        <w:ind w:left="25" w:right="391"/>
        <w:jc w:val="both"/>
        <w:rPr>
          <w:rFonts w:ascii="Arial" w:hAnsi="Arial"/>
          <w:iCs/>
        </w:rPr>
      </w:pPr>
      <w:r w:rsidRPr="00A75996">
        <w:rPr>
          <w:rFonts w:ascii="Arial" w:hAnsi="Arial"/>
          <w:iCs/>
        </w:rPr>
        <w:t>Επιπλέον, συμφωνήθηκε με τη DG REGIO να αναπτυχθούν ειδικές ανά χώρα κατευθυντήριες αρχές ως χωριστές αναθέσεις σε συνεργασία με τις αντίστοιχες εθνικές διαχειριστικές αρχές της Ελλάδας, της Ρουμανίας και της Κροατίας, με βάση τις συμφωνηθείσες γενικές κατευθυντήριες αρχές και λαμβάνοντας υπόψη τις ειδικές ανά χώρα πτυχές.</w:t>
      </w:r>
    </w:p>
    <w:p w14:paraId="6D166C4C" w14:textId="77777777" w:rsidR="007B1A84" w:rsidRDefault="002A0261" w:rsidP="003E0C33">
      <w:pPr>
        <w:pStyle w:val="BodyText"/>
        <w:spacing w:after="120"/>
        <w:ind w:left="25" w:right="394"/>
        <w:jc w:val="both"/>
        <w:rPr>
          <w:lang w:val="el-GR"/>
        </w:rPr>
      </w:pPr>
      <w:r>
        <w:t xml:space="preserve">Τον Απρίλιο του 2023 η ελληνική διαχειριστική αρχή («ΔΑ») του προγράμματος «Περιβάλλον και κλιματική αλλαγή» 2021-2027 (ΠΕΚΑ) ζήτησε επισήμως τη στήριξη της JASPERS για τον καθορισμό των ανά χώρα κατευθυντήριων αρχών για την επιλεξιμότητα των στερεών αποβλήτων με τη μορφή Μηχανισμού Ανάκτησης και Ανακύκλωσης (ΜΑΑ) στα προγράμματα 2021-2027 </w:t>
      </w:r>
      <w:r>
        <w:lastRenderedPageBreak/>
        <w:t>(οριζόντια ανάθεση 2023 119 GR SCE HOR). Σύμφωνα με το δελτίο ανάθεσης, η JASPERS πρέπει να παρέχει στη ΔΑ:</w:t>
      </w:r>
    </w:p>
    <w:p w14:paraId="0B0E57E4" w14:textId="77777777" w:rsidR="002A0261" w:rsidRDefault="002A0261" w:rsidP="000A5B09">
      <w:pPr>
        <w:pStyle w:val="BodyText"/>
        <w:spacing w:after="120"/>
        <w:ind w:left="25" w:right="3"/>
        <w:jc w:val="both"/>
        <w:rPr>
          <w:lang w:val="el-GR"/>
        </w:rPr>
      </w:pPr>
    </w:p>
    <w:p w14:paraId="36283A54" w14:textId="77777777" w:rsidR="00606D6C" w:rsidRDefault="00606D6C" w:rsidP="000A5B09">
      <w:pPr>
        <w:pStyle w:val="BodyText"/>
        <w:spacing w:after="120"/>
        <w:ind w:left="25" w:right="3"/>
        <w:jc w:val="both"/>
      </w:pPr>
      <w:r>
        <w:t xml:space="preserve">Τον Απρίλιο του 2023, η διαχειριστική αρχή («ΔΑ») του προγράμματος «Περιβάλλον και </w:t>
      </w:r>
      <w:r>
        <w:rPr>
          <w:lang w:val="el-GR"/>
        </w:rPr>
        <w:t>Κ</w:t>
      </w:r>
      <w:r>
        <w:t xml:space="preserve">λιματική </w:t>
      </w:r>
      <w:r>
        <w:rPr>
          <w:lang w:val="el-GR"/>
        </w:rPr>
        <w:t>Α</w:t>
      </w:r>
      <w:r>
        <w:t>λλαγή» 2021-2027 (</w:t>
      </w:r>
      <w:r>
        <w:rPr>
          <w:lang w:val="el-GR"/>
        </w:rPr>
        <w:t>ΕΥΔ/ΠΕΚΑ&amp;ΠΟΛΠΡΟ</w:t>
      </w:r>
      <w:r>
        <w:t xml:space="preserve">) ζήτησε επισήμως τη στήριξη της JASPERS για τον καθορισμό των ανά χώρα κατευθυντήριων αρχών για την επιλεξιμότητα των στερεών αποβλήτων με τη μορφή </w:t>
      </w:r>
      <w:r>
        <w:rPr>
          <w:lang w:val="el-GR"/>
        </w:rPr>
        <w:t>Μονάδων</w:t>
      </w:r>
      <w:r>
        <w:t xml:space="preserve"> Ανάκτησης και Ανακύκλωσης (RRF) (οριζόντια ανάθεση 2023 119 GR SCE HOR). Σύμφωνα με </w:t>
      </w:r>
      <w:r>
        <w:rPr>
          <w:lang w:val="el-GR"/>
        </w:rPr>
        <w:t>τη σχετική ανάθεση</w:t>
      </w:r>
      <w:r>
        <w:t>, η JASPERS πρέπει να παρέχει στη ΔΑ:</w:t>
      </w:r>
    </w:p>
    <w:p w14:paraId="40526821" w14:textId="77777777" w:rsidR="00606D6C" w:rsidRDefault="00606D6C" w:rsidP="000A5B09">
      <w:pPr>
        <w:pStyle w:val="P68B1DB1-a58"/>
        <w:numPr>
          <w:ilvl w:val="1"/>
          <w:numId w:val="44"/>
        </w:numPr>
        <w:tabs>
          <w:tab w:val="left" w:pos="567"/>
        </w:tabs>
        <w:spacing w:after="120"/>
        <w:ind w:left="25" w:right="3" w:firstLine="0"/>
      </w:pPr>
      <w:r>
        <w:rPr>
          <w:lang w:val="el-GR"/>
        </w:rPr>
        <w:t>Υποσ</w:t>
      </w:r>
      <w:r>
        <w:t xml:space="preserve">τήριξη για την ανάπτυξη του εννοιολογικού </w:t>
      </w:r>
      <w:r>
        <w:rPr>
          <w:lang w:val="el-GR"/>
        </w:rPr>
        <w:t>πλαισίου για τις ΜΑΑ</w:t>
      </w:r>
      <w:r>
        <w:t xml:space="preserve">, συμπεριλαμβανομένης της επεξεργασίας των τεχνικών και χρηματοοικονομικών πτυχών ενός έργου ΜΑΑ, όπως προβλέπεται στο </w:t>
      </w:r>
      <w:r>
        <w:rPr>
          <w:lang w:val="el-GR"/>
        </w:rPr>
        <w:t>Π</w:t>
      </w:r>
      <w:r>
        <w:t>EKA.</w:t>
      </w:r>
    </w:p>
    <w:p w14:paraId="34719BFF" w14:textId="77777777" w:rsidR="00606D6C" w:rsidRDefault="00606D6C" w:rsidP="000A5B09">
      <w:pPr>
        <w:pStyle w:val="P68B1DB1-a58"/>
        <w:numPr>
          <w:ilvl w:val="1"/>
          <w:numId w:val="44"/>
        </w:numPr>
        <w:tabs>
          <w:tab w:val="left" w:pos="567"/>
        </w:tabs>
        <w:spacing w:after="120"/>
        <w:ind w:left="25" w:right="3" w:firstLine="0"/>
      </w:pPr>
      <w:r>
        <w:t xml:space="preserve">Κατάρτιση κατευθυντήριων αρχών για την τεχνική μετατροπή </w:t>
      </w:r>
      <w:r>
        <w:rPr>
          <w:lang w:val="el-GR"/>
        </w:rPr>
        <w:t>των εγκαταστάσεων</w:t>
      </w:r>
      <w:r>
        <w:t xml:space="preserve"> μηχανικής-βιολογικής επεξεργασίας</w:t>
      </w:r>
      <w:r w:rsidRPr="003F1A5E">
        <w:rPr>
          <w:lang w:val="el-GR"/>
        </w:rPr>
        <w:t xml:space="preserve"> </w:t>
      </w:r>
      <w:r>
        <w:t>(M</w:t>
      </w:r>
      <w:r>
        <w:rPr>
          <w:lang w:val="el-GR"/>
        </w:rPr>
        <w:t>ΕΑ</w:t>
      </w:r>
      <w:r>
        <w:t>) προς ΜΑΑ</w:t>
      </w:r>
      <w:r w:rsidRPr="003F1A5E">
        <w:rPr>
          <w:lang w:val="el-GR"/>
        </w:rPr>
        <w:t xml:space="preserve"> </w:t>
      </w:r>
      <w:r>
        <w:t xml:space="preserve">σύμφωνα με τους στόχους του </w:t>
      </w:r>
      <w:r>
        <w:rPr>
          <w:lang w:val="el-GR"/>
        </w:rPr>
        <w:t>πακέτου κυκλικής οικονομίας</w:t>
      </w:r>
      <w:r>
        <w:t xml:space="preserve"> και την πολιτική συνοχής της ΕΕ για την περίοδο 2021-2027, καθώς και με τη μεθοδολογία υπολογισμού του σχετικού κόστους.</w:t>
      </w:r>
    </w:p>
    <w:p w14:paraId="057A4F98" w14:textId="77777777" w:rsidR="00606D6C" w:rsidRDefault="00606D6C" w:rsidP="000A5B09">
      <w:pPr>
        <w:pStyle w:val="P68B1DB1-a58"/>
        <w:numPr>
          <w:ilvl w:val="1"/>
          <w:numId w:val="44"/>
        </w:numPr>
        <w:tabs>
          <w:tab w:val="left" w:pos="567"/>
        </w:tabs>
        <w:spacing w:after="120"/>
        <w:ind w:left="25" w:right="3" w:firstLine="0"/>
      </w:pPr>
      <w:r>
        <w:t xml:space="preserve">Εκπόνηση μεθοδολογίας για τον υπολογισμό της επιχορήγησης της ΕΕ για </w:t>
      </w:r>
      <w:r>
        <w:rPr>
          <w:lang w:val="el-GR"/>
        </w:rPr>
        <w:t>τις</w:t>
      </w:r>
      <w:r>
        <w:t xml:space="preserve"> ΜΑΑ, υπολογιζόμενη εκ των προτέρων,</w:t>
      </w:r>
      <w:r w:rsidRPr="003F1A5E">
        <w:rPr>
          <w:lang w:val="el-GR"/>
        </w:rPr>
        <w:t xml:space="preserve"> </w:t>
      </w:r>
      <w:r>
        <w:t>για κάθε πράξη, καθ’</w:t>
      </w:r>
      <w:r>
        <w:rPr>
          <w:lang w:val="el-GR"/>
        </w:rPr>
        <w:t xml:space="preserve"> </w:t>
      </w:r>
      <w:r>
        <w:t xml:space="preserve">όλη τη διάρκεια του κύκλου ζωής της, και στήριξη για τη διατύπωση κατευθυντήριων αρχών της μεθοδολογίας για τον υπολογισμό του ποσοστού παρέμβασης της ενωσιακής χρηματοδότησης νέων ΜΑΑ ή </w:t>
      </w:r>
      <w:r>
        <w:rPr>
          <w:lang w:val="el-GR"/>
        </w:rPr>
        <w:t>τμηματοποιημένων</w:t>
      </w:r>
      <w:r>
        <w:t xml:space="preserve"> έργων για τα οποία δεν εφαρμόζεται ο κανονισμός 2022/2039/ΕΚ της ΕΕ «FAST-CARE».</w:t>
      </w:r>
    </w:p>
    <w:p w14:paraId="404C3869" w14:textId="77777777" w:rsidR="00606D6C" w:rsidRDefault="00606D6C" w:rsidP="000A5B09">
      <w:pPr>
        <w:pStyle w:val="P68B1DB1-a58"/>
        <w:numPr>
          <w:ilvl w:val="1"/>
          <w:numId w:val="44"/>
        </w:numPr>
        <w:tabs>
          <w:tab w:val="left" w:pos="567"/>
        </w:tabs>
        <w:spacing w:after="120"/>
        <w:ind w:left="25" w:right="3" w:firstLine="0"/>
      </w:pPr>
      <w:r>
        <w:t>Παροχή πρακτικών παραδειγμάτων που καταδεικνύουν τον αντίκτυπο των κατευθυντήριων αρχών στο ποσό της επιχορήγησης της ΕΕ.</w:t>
      </w:r>
    </w:p>
    <w:p w14:paraId="471CE4D8" w14:textId="77777777" w:rsidR="00606D6C" w:rsidRDefault="00606D6C" w:rsidP="000A5B09">
      <w:pPr>
        <w:pStyle w:val="P68B1DB1-a58"/>
        <w:numPr>
          <w:ilvl w:val="1"/>
          <w:numId w:val="44"/>
        </w:numPr>
        <w:tabs>
          <w:tab w:val="left" w:pos="567"/>
        </w:tabs>
        <w:spacing w:after="120"/>
        <w:ind w:left="25" w:right="3" w:firstLine="0"/>
      </w:pPr>
      <w:r>
        <w:t>Παροχή κατευθυντήριων γραμμών για την οργάνωση και την αναβάθμιση των συστημάτων συλλογής, έτσι ώστε να υποστηρίζουν</w:t>
      </w:r>
      <w:r w:rsidRPr="003F1A5E">
        <w:rPr>
          <w:lang w:val="el-GR"/>
        </w:rPr>
        <w:t xml:space="preserve"> </w:t>
      </w:r>
      <w:r>
        <w:rPr>
          <w:lang w:val="el-GR"/>
        </w:rPr>
        <w:t xml:space="preserve">τις </w:t>
      </w:r>
      <w:r>
        <w:t>ΜΑΑ και να συμβάλλουν επαρκώς στην επίτευξη των περιφερειακών στόχων.</w:t>
      </w:r>
    </w:p>
    <w:p w14:paraId="3A83FDFF" w14:textId="77777777" w:rsidR="00606D6C" w:rsidRDefault="00606D6C" w:rsidP="000A5B09">
      <w:pPr>
        <w:pStyle w:val="P68B1DB1-a58"/>
        <w:numPr>
          <w:ilvl w:val="1"/>
          <w:numId w:val="44"/>
        </w:numPr>
        <w:tabs>
          <w:tab w:val="left" w:pos="567"/>
        </w:tabs>
        <w:spacing w:after="120"/>
        <w:ind w:left="25" w:right="3" w:firstLine="0"/>
      </w:pPr>
      <w:r>
        <w:t xml:space="preserve">Να εκπονηθούν εκτιμήσεις σχετικά με </w:t>
      </w:r>
      <w:r>
        <w:rPr>
          <w:lang w:val="el-GR"/>
        </w:rPr>
        <w:t>το πλαίσιο κρατικών ενισχύσεων</w:t>
      </w:r>
      <w:r>
        <w:t xml:space="preserve"> </w:t>
      </w:r>
      <w:r>
        <w:rPr>
          <w:lang w:val="el-GR"/>
        </w:rPr>
        <w:t>των</w:t>
      </w:r>
      <w:r>
        <w:t xml:space="preserve"> ΜΑΑ (τεχνικές και χρηματοοικονομικές πτυχές). Έκτοτε, το αίτημα αυτό αναλύεται περαιτέρω σε i) σενάρια που συμμορφώνονται με τις κρατικές ενισχύσεις για την επεξεργασία των χωριστά συλλεγόμενων ροών αποβλήτων στους ΜΑΑ και ii) κατευθυντήριες αρχές για την τροποποίηση των υφιστάμενων ΥΓΟΣ ώστε να συμπεριληφθούν πρόσθετες επενδύσεις και υπηρεσίες.</w:t>
      </w:r>
    </w:p>
    <w:p w14:paraId="74B3FD12" w14:textId="77777777" w:rsidR="00606D6C" w:rsidRDefault="00606D6C" w:rsidP="000A5B09">
      <w:pPr>
        <w:pStyle w:val="P68B1DB1-a58"/>
        <w:numPr>
          <w:ilvl w:val="1"/>
          <w:numId w:val="44"/>
        </w:numPr>
        <w:tabs>
          <w:tab w:val="left" w:pos="567"/>
        </w:tabs>
        <w:spacing w:after="120"/>
        <w:ind w:left="25" w:right="3" w:firstLine="0"/>
      </w:pPr>
      <w:r>
        <w:t>Υποστήριξη για την εκπόνηση οδηγού για τη συγχρηματοδότηση και διοργάνωση από κοινού με τις ελληνικές αρχές ημερίδας με όλους τους δικαιούχους/ΦΟΣΔΑ για τη διάδοση πληροφοριών.</w:t>
      </w:r>
    </w:p>
    <w:p w14:paraId="380088C9" w14:textId="77777777" w:rsidR="00606D6C" w:rsidRDefault="00606D6C" w:rsidP="000A5B09">
      <w:pPr>
        <w:pStyle w:val="BodyText"/>
        <w:spacing w:after="120"/>
        <w:ind w:left="25" w:right="3"/>
        <w:jc w:val="both"/>
      </w:pPr>
      <w:r>
        <w:t xml:space="preserve">Η </w:t>
      </w:r>
      <w:r>
        <w:rPr>
          <w:lang w:val="el-GR"/>
        </w:rPr>
        <w:t xml:space="preserve">Ομάδα </w:t>
      </w:r>
      <w:r>
        <w:t xml:space="preserve">Jaspers θεωρεί ότι, μετά τη συμφωνία των προτάσεων που εκπονήθηκαν με τη ΔΑ, οι κατευθυντήριες αρχές τίθενται στη διάθεση της </w:t>
      </w:r>
      <w:r>
        <w:rPr>
          <w:lang w:val="en-US"/>
        </w:rPr>
        <w:t>DG</w:t>
      </w:r>
      <w:r>
        <w:t xml:space="preserve"> REGIO πριν επισυναφθούν </w:t>
      </w:r>
      <w:r>
        <w:rPr>
          <w:lang w:val="el-GR"/>
        </w:rPr>
        <w:t>στην Πρόσκληση</w:t>
      </w:r>
      <w:r>
        <w:t xml:space="preserve"> για τα έργα διαχείρισης αποβλήτων που πρόκειται να υποστηριχθούν στο πλαίσιο του προγράμματος </w:t>
      </w:r>
      <w:r>
        <w:rPr>
          <w:lang w:val="el-GR"/>
        </w:rPr>
        <w:t>Π</w:t>
      </w:r>
      <w:r>
        <w:t>EKA.</w:t>
      </w:r>
    </w:p>
    <w:p w14:paraId="54ABF4BC" w14:textId="77777777" w:rsidR="007B1A84" w:rsidRDefault="007B1A84" w:rsidP="003E0C33">
      <w:pPr>
        <w:pStyle w:val="BodyText"/>
        <w:spacing w:after="120"/>
      </w:pPr>
    </w:p>
    <w:p w14:paraId="63D8BDEA" w14:textId="413BE324" w:rsidR="007B1A84" w:rsidRDefault="002A0261" w:rsidP="003E0C33">
      <w:pPr>
        <w:pStyle w:val="Heading4"/>
        <w:numPr>
          <w:ilvl w:val="1"/>
          <w:numId w:val="40"/>
        </w:numPr>
        <w:tabs>
          <w:tab w:val="left" w:pos="601"/>
        </w:tabs>
        <w:spacing w:after="120"/>
        <w:ind w:hanging="576"/>
      </w:pPr>
      <w:bookmarkStart w:id="2" w:name="_bookmark2"/>
      <w:bookmarkEnd w:id="2"/>
      <w:r>
        <w:t xml:space="preserve">ΣΚΟΠΟΣ και πεδιο ΕΦΑΡΜΟΓΗΣ </w:t>
      </w:r>
    </w:p>
    <w:p w14:paraId="08482C7E" w14:textId="7F4CEFD6" w:rsidR="007B1A84" w:rsidRPr="000A5B09" w:rsidRDefault="002A0261" w:rsidP="000A5B09">
      <w:pPr>
        <w:pStyle w:val="BodyText"/>
        <w:spacing w:after="120"/>
        <w:ind w:left="25" w:right="3"/>
        <w:jc w:val="both"/>
        <w:rPr>
          <w:lang w:val="el-GR"/>
        </w:rPr>
      </w:pPr>
      <w:r>
        <w:t xml:space="preserve">Ο σκοπός του παρόντος </w:t>
      </w:r>
      <w:r w:rsidR="00150058">
        <w:rPr>
          <w:lang w:val="el-GR"/>
        </w:rPr>
        <w:t xml:space="preserve">Οδηγού </w:t>
      </w:r>
      <w:r w:rsidR="00D00969">
        <w:rPr>
          <w:lang w:val="el-GR"/>
        </w:rPr>
        <w:t>Κ</w:t>
      </w:r>
      <w:r w:rsidR="00150058">
        <w:rPr>
          <w:lang w:val="el-GR"/>
        </w:rPr>
        <w:t>ατευθύνσεων</w:t>
      </w:r>
      <w:r>
        <w:t xml:space="preserve"> 2 της τρέχουσας ανάθεσης αφορά το σημείο 6.i, </w:t>
      </w:r>
      <w:r w:rsidRPr="000A5B09">
        <w:rPr>
          <w:lang w:val="el-GR"/>
        </w:rPr>
        <w:t xml:space="preserve">δηλαδή να παράσχει </w:t>
      </w:r>
      <w:r w:rsidRPr="000A5B09">
        <w:rPr>
          <w:b/>
          <w:bCs/>
          <w:lang w:val="el-GR"/>
        </w:rPr>
        <w:t>πρακτικό οδηγό σχετικά με τα ισχύοντα σενάρια κρατικών ενισχύσεων για την παροχή δημόσιας στήριξης σε δημόσιες εγκαταστάσεις ανάκτησης πόρων (</w:t>
      </w:r>
      <w:r w:rsidR="00CE1DC5">
        <w:rPr>
          <w:b/>
          <w:bCs/>
          <w:lang w:val="el-GR"/>
        </w:rPr>
        <w:t>ΜΑΑ</w:t>
      </w:r>
      <w:r w:rsidRPr="000A5B09">
        <w:rPr>
          <w:b/>
          <w:bCs/>
          <w:lang w:val="el-GR"/>
        </w:rPr>
        <w:t xml:space="preserve">) που χρησιμοποιούνται για την επεξεργασία χωριστά συλλεγόμενων </w:t>
      </w:r>
      <w:r w:rsidR="00CE1DC5">
        <w:rPr>
          <w:b/>
          <w:bCs/>
          <w:lang w:val="el-GR"/>
        </w:rPr>
        <w:t>ρευμάτων</w:t>
      </w:r>
      <w:r w:rsidRPr="000A5B09">
        <w:rPr>
          <w:b/>
          <w:bCs/>
          <w:lang w:val="el-GR"/>
        </w:rPr>
        <w:t xml:space="preserve"> </w:t>
      </w:r>
      <w:r w:rsidR="00CE1DC5">
        <w:rPr>
          <w:b/>
          <w:bCs/>
          <w:lang w:val="el-GR"/>
        </w:rPr>
        <w:t xml:space="preserve">αστικών </w:t>
      </w:r>
      <w:r w:rsidRPr="000A5B09">
        <w:rPr>
          <w:b/>
          <w:bCs/>
          <w:lang w:val="el-GR"/>
        </w:rPr>
        <w:t xml:space="preserve">αποβλήτων (ανακυκλώσιμα, </w:t>
      </w:r>
      <w:r w:rsidR="00CE1DC5">
        <w:rPr>
          <w:b/>
          <w:bCs/>
          <w:lang w:val="el-GR"/>
        </w:rPr>
        <w:t>απόβλητα</w:t>
      </w:r>
      <w:r w:rsidRPr="000A5B09">
        <w:rPr>
          <w:b/>
          <w:bCs/>
          <w:lang w:val="el-GR"/>
        </w:rPr>
        <w:t xml:space="preserve"> συσκευασίας και βιολογικά απόβλητα).</w:t>
      </w:r>
    </w:p>
    <w:p w14:paraId="446963B0" w14:textId="77777777" w:rsidR="007B1A84" w:rsidRDefault="002A0261" w:rsidP="003E0C33">
      <w:pPr>
        <w:pStyle w:val="BodyText"/>
        <w:spacing w:after="120"/>
        <w:ind w:left="25" w:right="430"/>
        <w:jc w:val="both"/>
      </w:pPr>
      <w:r>
        <w:t>Κατά την ανάπτυξη των ειδικών ανά χώρα κατευθυντήριων αρχών για την Ελλάδα εξετάζονται οι ακόλουθες πτυχές:</w:t>
      </w:r>
    </w:p>
    <w:p w14:paraId="1A222AB6" w14:textId="77777777" w:rsidR="007B1A84" w:rsidRDefault="002A0261" w:rsidP="003E0C33">
      <w:pPr>
        <w:pStyle w:val="P68B1DB1-a58"/>
        <w:numPr>
          <w:ilvl w:val="0"/>
          <w:numId w:val="38"/>
        </w:numPr>
        <w:tabs>
          <w:tab w:val="left" w:pos="745"/>
        </w:tabs>
        <w:spacing w:after="120"/>
        <w:ind w:left="745" w:hanging="352"/>
      </w:pPr>
      <w:r>
        <w:t>Σχετική ευρωπαϊκή και εθνική νομοθεσία για τα απόβλητα</w:t>
      </w:r>
    </w:p>
    <w:p w14:paraId="2BCD3E71" w14:textId="77777777" w:rsidR="007B1A84" w:rsidRDefault="002A0261" w:rsidP="003E0C33">
      <w:pPr>
        <w:pStyle w:val="P68B1DB1-a58"/>
        <w:numPr>
          <w:ilvl w:val="0"/>
          <w:numId w:val="38"/>
        </w:numPr>
        <w:tabs>
          <w:tab w:val="left" w:pos="745"/>
        </w:tabs>
        <w:spacing w:after="120"/>
        <w:ind w:left="745" w:hanging="352"/>
      </w:pPr>
      <w:r>
        <w:t>Σχετική ευρωπαϊκή νομοθεσία και κατευθυντήριες γραμμές για τις κρατικές ενισχύσεις</w:t>
      </w:r>
    </w:p>
    <w:p w14:paraId="7BE142F9" w14:textId="6ED7AC9C" w:rsidR="007B1A84" w:rsidRDefault="002A0261" w:rsidP="003E0C33">
      <w:pPr>
        <w:pStyle w:val="P68B1DB1-a58"/>
        <w:numPr>
          <w:ilvl w:val="0"/>
          <w:numId w:val="38"/>
        </w:numPr>
        <w:tabs>
          <w:tab w:val="left" w:pos="746"/>
        </w:tabs>
        <w:spacing w:after="120"/>
        <w:ind w:right="427"/>
      </w:pPr>
      <w:r>
        <w:t>Διατάξεις των Περιφερειακών Σχεδίων Διαχείρισης Αποβλήτων (</w:t>
      </w:r>
      <w:r w:rsidR="00CE1DC5">
        <w:rPr>
          <w:lang w:val="el-GR"/>
        </w:rPr>
        <w:t>ΠΕΣΔΑ</w:t>
      </w:r>
      <w:r>
        <w:t xml:space="preserve">), που βρίσκονται </w:t>
      </w:r>
      <w:r>
        <w:lastRenderedPageBreak/>
        <w:t>επί του παρόντος υπό αναθεώρηση/επανεξέταση.</w:t>
      </w:r>
    </w:p>
    <w:p w14:paraId="0BD34711" w14:textId="711744A4" w:rsidR="007B1A84" w:rsidRDefault="002A0261" w:rsidP="003E0C33">
      <w:pPr>
        <w:pStyle w:val="P68B1DB1-a58"/>
        <w:numPr>
          <w:ilvl w:val="0"/>
          <w:numId w:val="38"/>
        </w:numPr>
        <w:tabs>
          <w:tab w:val="left" w:pos="745"/>
        </w:tabs>
        <w:spacing w:after="120"/>
        <w:ind w:left="745" w:hanging="352"/>
      </w:pPr>
      <w:r>
        <w:t xml:space="preserve">Διατάξεις του προγράμματος </w:t>
      </w:r>
      <w:r w:rsidR="00CE1DC5">
        <w:rPr>
          <w:lang w:val="el-GR"/>
        </w:rPr>
        <w:t>Π</w:t>
      </w:r>
      <w:r>
        <w:t>EKA 2021-2027</w:t>
      </w:r>
    </w:p>
    <w:p w14:paraId="435A0D59" w14:textId="71E4F6EB" w:rsidR="007B1A84" w:rsidRDefault="002A0261" w:rsidP="003E0C33">
      <w:pPr>
        <w:pStyle w:val="P68B1DB1-a58"/>
        <w:numPr>
          <w:ilvl w:val="0"/>
          <w:numId w:val="38"/>
        </w:numPr>
        <w:tabs>
          <w:tab w:val="left" w:pos="746"/>
        </w:tabs>
        <w:spacing w:after="120"/>
        <w:ind w:right="415"/>
      </w:pPr>
      <w:r>
        <w:t xml:space="preserve">Οι διατάξεις που περιλαμβάνονται στα ελληνικά έργα ΜΑΑ που πρόκειται να υλοποιηθούν στο πλαίσιο του προγράμματος </w:t>
      </w:r>
      <w:r w:rsidR="00CE1DC5">
        <w:rPr>
          <w:lang w:val="el-GR"/>
        </w:rPr>
        <w:t>Π</w:t>
      </w:r>
      <w:r>
        <w:t xml:space="preserve">EKA, συμπεριλαμβανομένων των </w:t>
      </w:r>
      <w:r w:rsidR="0010558E">
        <w:rPr>
          <w:lang w:val="el-GR"/>
        </w:rPr>
        <w:t>εγγράφων</w:t>
      </w:r>
      <w:r>
        <w:t xml:space="preserve"> τεκμηρίωσης του έργου «Μονάδα ανακύκλωσης και ανάκτησης αποβλήτων του Ανατολικού Τομέα της Κεντρικής Μακεδονίας».</w:t>
      </w:r>
    </w:p>
    <w:p w14:paraId="70BEF5AE" w14:textId="77E1878F" w:rsidR="007B1A84" w:rsidRDefault="002A0261" w:rsidP="003E0C33">
      <w:pPr>
        <w:pStyle w:val="P68B1DB1-a58"/>
        <w:numPr>
          <w:ilvl w:val="0"/>
          <w:numId w:val="38"/>
        </w:numPr>
        <w:tabs>
          <w:tab w:val="left" w:pos="746"/>
        </w:tabs>
        <w:spacing w:after="120"/>
        <w:ind w:right="416"/>
      </w:pPr>
      <w:r>
        <w:t>Οι GN-1 και GN-2 εκπονήθηκαν στο πλαίσιο της αποστολής 2022 99 SCE HOR «Στήριξη για</w:t>
      </w:r>
      <w:r w:rsidR="0010558E">
        <w:rPr>
          <w:lang w:val="el-GR"/>
        </w:rPr>
        <w:t xml:space="preserve"> </w:t>
      </w:r>
      <w:r>
        <w:rPr>
          <w:rFonts w:ascii="Arial" w:hAnsi="Arial"/>
          <w:i/>
        </w:rPr>
        <w:t>τη θέσπιση κατευθυντήριων αρχών για την εφαρμογή της περιορισμένης επιλεξιμότητας της επεξεργασίας στερεών αποβλήτων στην πολιτική συνοχής 2021-2027»</w:t>
      </w:r>
      <w:r>
        <w:t>.</w:t>
      </w:r>
    </w:p>
    <w:p w14:paraId="79136926" w14:textId="77777777" w:rsidR="007B1A84" w:rsidRPr="0010558E" w:rsidRDefault="002A0261" w:rsidP="00947EC5">
      <w:pPr>
        <w:pStyle w:val="P68B1DB1-a58"/>
        <w:numPr>
          <w:ilvl w:val="0"/>
          <w:numId w:val="38"/>
        </w:numPr>
        <w:tabs>
          <w:tab w:val="left" w:pos="745"/>
        </w:tabs>
        <w:spacing w:after="120"/>
        <w:ind w:left="745" w:hanging="352"/>
      </w:pPr>
      <w:r>
        <w:t>Το σκεπτικό και ο προβλεπόμενος ρόλος των ΜΑΑ στη διαχείριση των αστικών αποβλήτων</w:t>
      </w:r>
      <w:r w:rsidR="0010558E" w:rsidRPr="0010558E">
        <w:rPr>
          <w:lang w:val="el-GR"/>
        </w:rPr>
        <w:t xml:space="preserve"> </w:t>
      </w:r>
      <w:bookmarkStart w:id="3" w:name="_bookmark3"/>
      <w:bookmarkEnd w:id="3"/>
    </w:p>
    <w:p w14:paraId="0D14F91B" w14:textId="77777777" w:rsidR="0010558E" w:rsidRDefault="0010558E" w:rsidP="0010558E">
      <w:pPr>
        <w:pStyle w:val="P68B1DB1-a58"/>
        <w:tabs>
          <w:tab w:val="left" w:pos="745"/>
        </w:tabs>
        <w:spacing w:after="120"/>
        <w:rPr>
          <w:lang w:val="el-GR"/>
        </w:rPr>
      </w:pPr>
    </w:p>
    <w:p w14:paraId="16215B32" w14:textId="77777777" w:rsidR="007B1A84" w:rsidRDefault="002A0261" w:rsidP="003E0C33">
      <w:pPr>
        <w:pStyle w:val="Heading2"/>
        <w:numPr>
          <w:ilvl w:val="0"/>
          <w:numId w:val="40"/>
        </w:numPr>
        <w:tabs>
          <w:tab w:val="left" w:pos="392"/>
        </w:tabs>
        <w:spacing w:after="120"/>
        <w:ind w:left="392" w:hanging="367"/>
        <w:rPr>
          <w:color w:val="F16421"/>
        </w:rPr>
      </w:pPr>
      <w:r>
        <w:t>Εφαρμοστέοι στόχοι κρατικών ενισχύσεων</w:t>
      </w:r>
    </w:p>
    <w:p w14:paraId="57401851" w14:textId="21E3A80E" w:rsidR="007B1A84" w:rsidRDefault="007B1A84" w:rsidP="003E0C33">
      <w:pPr>
        <w:pStyle w:val="BodyText"/>
        <w:spacing w:after="120"/>
        <w:rPr>
          <w:rFonts w:ascii="Arial"/>
          <w:b/>
          <w:sz w:val="24"/>
        </w:rPr>
      </w:pPr>
    </w:p>
    <w:p w14:paraId="50F1BEB4" w14:textId="5BE3CCD9" w:rsidR="007B1A84" w:rsidRDefault="002A0261" w:rsidP="003E0C33">
      <w:pPr>
        <w:pStyle w:val="Heading4"/>
        <w:numPr>
          <w:ilvl w:val="1"/>
          <w:numId w:val="40"/>
        </w:numPr>
        <w:tabs>
          <w:tab w:val="left" w:pos="601"/>
        </w:tabs>
        <w:spacing w:after="120"/>
        <w:ind w:hanging="576"/>
      </w:pPr>
      <w:bookmarkStart w:id="4" w:name="_bookmark4"/>
      <w:bookmarkEnd w:id="4"/>
      <w:r>
        <w:t>Εισαγωγή</w:t>
      </w:r>
    </w:p>
    <w:p w14:paraId="2ED3317D" w14:textId="4EB5D830" w:rsidR="007B1A84" w:rsidRDefault="002A0261" w:rsidP="00BE514B">
      <w:pPr>
        <w:pStyle w:val="P68B1DB1-a58"/>
        <w:numPr>
          <w:ilvl w:val="0"/>
          <w:numId w:val="37"/>
        </w:numPr>
        <w:tabs>
          <w:tab w:val="left" w:pos="391"/>
          <w:tab w:val="left" w:pos="393"/>
        </w:tabs>
        <w:spacing w:after="120"/>
        <w:ind w:right="3"/>
      </w:pPr>
      <w:r>
        <w:t>Κατά τη μοντελοποίηση εναλλακτικών σεναρίων κρατικών ενισχύσεων, τα κράτη μέλη πρέπει να λαμβάνουν υπόψη τους στόχους και τις υποχρεώσεις που τους επιβάλλονται με την οδηγία 2008/98/ΕΚ της ΕΕ για τα απόβλητα και την οδηγία 1999/31/ΕΚ του Συμβουλίου περί υγειονομικής ταφής των αποβλήτων (οδηγία για την υγειονομική ταφή των αποβλήτων).</w:t>
      </w:r>
    </w:p>
    <w:p w14:paraId="6341A7B4" w14:textId="04F5A03B" w:rsidR="007B1A84" w:rsidRDefault="002A0261" w:rsidP="008B043A">
      <w:pPr>
        <w:pStyle w:val="P68B1DB1-a58"/>
        <w:numPr>
          <w:ilvl w:val="0"/>
          <w:numId w:val="37"/>
        </w:numPr>
        <w:tabs>
          <w:tab w:val="left" w:pos="392"/>
        </w:tabs>
        <w:spacing w:after="120"/>
        <w:ind w:right="3" w:hanging="367"/>
      </w:pPr>
      <w:r>
        <w:t xml:space="preserve">Το άρθρο 11 παράγραφος 2 της οδηγίας για τα απόβλητα και το άρθρο 5 παράγραφος 5 της οδηγίας για την υγειονομική ταφή ορίζουν </w:t>
      </w:r>
      <w:r w:rsidR="00807579" w:rsidRPr="00807579">
        <w:rPr>
          <w:lang w:val="el-GR"/>
        </w:rPr>
        <w:t xml:space="preserve">τους ακόλουθους στόχους για </w:t>
      </w:r>
      <w:r>
        <w:t>τα κράτη μέλη:</w:t>
      </w:r>
    </w:p>
    <w:p w14:paraId="68CBA33E" w14:textId="72F052CB" w:rsidR="007B1A84" w:rsidRDefault="002A0261" w:rsidP="00BE514B">
      <w:pPr>
        <w:pStyle w:val="P68B1DB1-a58"/>
        <w:numPr>
          <w:ilvl w:val="1"/>
          <w:numId w:val="37"/>
        </w:numPr>
        <w:tabs>
          <w:tab w:val="left" w:pos="874"/>
        </w:tabs>
        <w:spacing w:after="120"/>
        <w:ind w:right="3"/>
      </w:pPr>
      <w:r>
        <w:t>Έως το 2025, το ποσοστό επαναχρησιμοποίησης και ανάκτησης αστικών αποβλήτων θα πρέπει να είναι τουλάχιστον 55 % (κατά βάρος) [έως το 2030 — 60 % και έως το 2035 — 65 %],</w:t>
      </w:r>
    </w:p>
    <w:p w14:paraId="67426F37" w14:textId="5C1D1968" w:rsidR="007B1A84" w:rsidRDefault="002A0261" w:rsidP="00BE514B">
      <w:pPr>
        <w:pStyle w:val="P68B1DB1-a58"/>
        <w:numPr>
          <w:ilvl w:val="1"/>
          <w:numId w:val="37"/>
        </w:numPr>
        <w:tabs>
          <w:tab w:val="left" w:pos="874"/>
        </w:tabs>
        <w:spacing w:after="120"/>
        <w:ind w:right="3"/>
      </w:pPr>
      <w:r>
        <w:t>Έως το 2035, η ποσότητα των αστικών αποβλήτων που απορρίπτονται σε χώρους υγειονομικής ταφής θα πρέπει να είναι ίση ή μικρότερη του 10 % της συνολικής ποσότητας των αστικών αποβλήτων που παράγονται (κατά βάρος).</w:t>
      </w:r>
    </w:p>
    <w:p w14:paraId="7AB18E2F" w14:textId="4F6E2E09" w:rsidR="007B1A84" w:rsidRDefault="002A0261" w:rsidP="00BE514B">
      <w:pPr>
        <w:pStyle w:val="P68B1DB1-a58"/>
        <w:numPr>
          <w:ilvl w:val="0"/>
          <w:numId w:val="37"/>
        </w:numPr>
        <w:tabs>
          <w:tab w:val="left" w:pos="391"/>
          <w:tab w:val="left" w:pos="393"/>
        </w:tabs>
        <w:spacing w:after="120"/>
        <w:ind w:right="3"/>
      </w:pPr>
      <w:r>
        <w:t>Το άρθρο 22 παράγραφος 1 της οδηγίας για τα απόβλητα απαιτεί από τα κράτη μέλη να διασφαλίζουν από το τέλος του 2023 ότι τα βιολογικά απόβλητα είτε διαχωρίζονται και ανακυκλώνονται στην πηγή είτε συλλέγονται χωριστά και δεν αναμειγνύονται με άλλα είδη αποβλήτων.</w:t>
      </w:r>
    </w:p>
    <w:p w14:paraId="08A88EEC" w14:textId="786D7590" w:rsidR="007B1A84" w:rsidRDefault="002A0261" w:rsidP="00CA6DBD">
      <w:pPr>
        <w:pStyle w:val="P68B1DB1-a58"/>
        <w:numPr>
          <w:ilvl w:val="0"/>
          <w:numId w:val="37"/>
        </w:numPr>
        <w:tabs>
          <w:tab w:val="left" w:pos="391"/>
          <w:tab w:val="left" w:pos="393"/>
        </w:tabs>
        <w:spacing w:after="120"/>
        <w:ind w:right="-1"/>
      </w:pPr>
      <w:r>
        <w:t xml:space="preserve">Το άρθρο 6 παράγραφος 1 της οδηγίας για τα </w:t>
      </w:r>
      <w:r w:rsidR="00CA6DBD">
        <w:rPr>
          <w:lang w:val="el-GR"/>
        </w:rPr>
        <w:t>απόβλητα</w:t>
      </w:r>
      <w:r>
        <w:t xml:space="preserve"> συσκευασίας ορίζει επιπλέον τον ακόλουθο στόχο ανάκτησης και ανακύκλωσης στα κράτη μέλη:</w:t>
      </w:r>
    </w:p>
    <w:p w14:paraId="457FB24D" w14:textId="586CAA17" w:rsidR="007B1A84" w:rsidRDefault="002A0261" w:rsidP="003E0C33">
      <w:pPr>
        <w:pStyle w:val="P68B1DB1-a58"/>
        <w:numPr>
          <w:ilvl w:val="1"/>
          <w:numId w:val="37"/>
        </w:numPr>
        <w:tabs>
          <w:tab w:val="left" w:pos="1114"/>
        </w:tabs>
        <w:spacing w:after="120"/>
        <w:ind w:left="1114" w:right="412" w:hanging="369"/>
      </w:pPr>
      <w:r>
        <w:t>Έως το 2025, τουλάχιστον το 65 % (κατά βάρος) όλων των συσκευασιών-απόβλητων θα πρέπει να ανακυκλώνεται [έως το 2030 — 70 %].</w:t>
      </w:r>
    </w:p>
    <w:p w14:paraId="631F09E0" w14:textId="63A00880" w:rsidR="006A59AF" w:rsidRPr="006A59AF" w:rsidRDefault="002A0261" w:rsidP="006A59AF">
      <w:pPr>
        <w:pStyle w:val="P68B1DB1-a58"/>
        <w:numPr>
          <w:ilvl w:val="0"/>
          <w:numId w:val="37"/>
        </w:numPr>
        <w:tabs>
          <w:tab w:val="left" w:pos="392"/>
        </w:tabs>
        <w:spacing w:after="120"/>
        <w:ind w:left="392" w:hanging="367"/>
      </w:pPr>
      <w:r>
        <w:t>Η ιεράρχηση των αποβλήτων ορίζεται στο άρθρο 4 παράγραφος 1 της οδηγίας για τα απόβλητα:</w:t>
      </w:r>
    </w:p>
    <w:p w14:paraId="1E11FFE6" w14:textId="0D7314D5" w:rsidR="00216583" w:rsidRDefault="00216583" w:rsidP="006A59AF">
      <w:pPr>
        <w:pStyle w:val="P68B1DB1-a58"/>
        <w:spacing w:after="120"/>
        <w:rPr>
          <w:lang w:val="el-GR"/>
        </w:rPr>
      </w:pPr>
      <w:r>
        <w:rPr>
          <w:noProof/>
        </w:rPr>
        <w:drawing>
          <wp:anchor distT="0" distB="0" distL="114300" distR="114300" simplePos="0" relativeHeight="487609344" behindDoc="0" locked="0" layoutInCell="1" allowOverlap="1" wp14:anchorId="649492CA" wp14:editId="51434B23">
            <wp:simplePos x="0" y="0"/>
            <wp:positionH relativeFrom="column">
              <wp:posOffset>433705</wp:posOffset>
            </wp:positionH>
            <wp:positionV relativeFrom="paragraph">
              <wp:posOffset>159385</wp:posOffset>
            </wp:positionV>
            <wp:extent cx="4787900" cy="2641600"/>
            <wp:effectExtent l="0" t="0" r="0" b="6350"/>
            <wp:wrapNone/>
            <wp:docPr id="11" name="Εικόνα 11" descr="A diagram of a recycling process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Εικόνα 11" descr="A diagram of a recycling process  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87900" cy="2641600"/>
                    </a:xfrm>
                    <a:prstGeom prst="rect">
                      <a:avLst/>
                    </a:prstGeom>
                  </pic:spPr>
                </pic:pic>
              </a:graphicData>
            </a:graphic>
            <wp14:sizeRelH relativeFrom="margin">
              <wp14:pctWidth>0</wp14:pctWidth>
            </wp14:sizeRelH>
            <wp14:sizeRelV relativeFrom="margin">
              <wp14:pctHeight>0</wp14:pctHeight>
            </wp14:sizeRelV>
          </wp:anchor>
        </w:drawing>
      </w:r>
    </w:p>
    <w:p w14:paraId="2307EE4B" w14:textId="77777777" w:rsidR="00216583" w:rsidRDefault="00216583" w:rsidP="006A59AF">
      <w:pPr>
        <w:pStyle w:val="P68B1DB1-a58"/>
        <w:spacing w:after="120"/>
        <w:rPr>
          <w:lang w:val="el-GR"/>
        </w:rPr>
      </w:pPr>
    </w:p>
    <w:p w14:paraId="72EB4504" w14:textId="77777777" w:rsidR="00216583" w:rsidRDefault="00216583" w:rsidP="006A59AF">
      <w:pPr>
        <w:pStyle w:val="P68B1DB1-a58"/>
        <w:spacing w:after="120"/>
        <w:rPr>
          <w:lang w:val="el-GR"/>
        </w:rPr>
      </w:pPr>
    </w:p>
    <w:p w14:paraId="5AF57D99" w14:textId="77777777" w:rsidR="00216583" w:rsidRDefault="00216583" w:rsidP="006A59AF">
      <w:pPr>
        <w:pStyle w:val="P68B1DB1-a58"/>
        <w:spacing w:after="120"/>
        <w:rPr>
          <w:lang w:val="el-GR"/>
        </w:rPr>
      </w:pPr>
    </w:p>
    <w:p w14:paraId="36181E15" w14:textId="77777777" w:rsidR="00216583" w:rsidRDefault="00216583" w:rsidP="006A59AF">
      <w:pPr>
        <w:pStyle w:val="P68B1DB1-a58"/>
        <w:spacing w:after="120"/>
        <w:rPr>
          <w:lang w:val="el-GR"/>
        </w:rPr>
      </w:pPr>
    </w:p>
    <w:p w14:paraId="778DAD65" w14:textId="77777777" w:rsidR="00216583" w:rsidRDefault="00216583" w:rsidP="006A59AF">
      <w:pPr>
        <w:pStyle w:val="P68B1DB1-a58"/>
        <w:spacing w:after="120"/>
        <w:rPr>
          <w:lang w:val="el-GR"/>
        </w:rPr>
      </w:pPr>
    </w:p>
    <w:p w14:paraId="28DCCF39" w14:textId="77777777" w:rsidR="00216583" w:rsidRDefault="00216583" w:rsidP="006A59AF">
      <w:pPr>
        <w:pStyle w:val="P68B1DB1-a58"/>
        <w:spacing w:after="120"/>
        <w:rPr>
          <w:lang w:val="el-GR"/>
        </w:rPr>
      </w:pPr>
    </w:p>
    <w:p w14:paraId="6BB29E9C" w14:textId="6B995FA3" w:rsidR="006A59AF" w:rsidRDefault="006A59AF" w:rsidP="006A59AF">
      <w:pPr>
        <w:pStyle w:val="P68B1DB1-a58"/>
        <w:spacing w:after="120"/>
        <w:rPr>
          <w:lang w:val="el-GR"/>
        </w:rPr>
      </w:pPr>
    </w:p>
    <w:p w14:paraId="62AF5B5E" w14:textId="77777777" w:rsidR="00216583" w:rsidRDefault="00216583" w:rsidP="006A59AF">
      <w:pPr>
        <w:pStyle w:val="P68B1DB1-a58"/>
        <w:spacing w:after="120"/>
        <w:rPr>
          <w:lang w:val="el-GR"/>
        </w:rPr>
      </w:pPr>
    </w:p>
    <w:p w14:paraId="32897545" w14:textId="77777777" w:rsidR="00216583" w:rsidRDefault="00216583" w:rsidP="006A59AF">
      <w:pPr>
        <w:pStyle w:val="P68B1DB1-a58"/>
        <w:spacing w:after="120"/>
        <w:rPr>
          <w:lang w:val="el-GR"/>
        </w:rPr>
      </w:pPr>
    </w:p>
    <w:p w14:paraId="3CEE0296" w14:textId="77777777" w:rsidR="00216583" w:rsidRDefault="00216583" w:rsidP="006A59AF">
      <w:pPr>
        <w:pStyle w:val="P68B1DB1-a58"/>
        <w:spacing w:after="120"/>
        <w:rPr>
          <w:lang w:val="el-GR"/>
        </w:rPr>
      </w:pPr>
    </w:p>
    <w:p w14:paraId="3E960905" w14:textId="77777777" w:rsidR="00216583" w:rsidRDefault="00216583" w:rsidP="006A59AF">
      <w:pPr>
        <w:pStyle w:val="P68B1DB1-a58"/>
        <w:spacing w:after="120"/>
        <w:rPr>
          <w:lang w:val="el-GR"/>
        </w:rPr>
      </w:pPr>
    </w:p>
    <w:p w14:paraId="208F0E66" w14:textId="4BAB87B9" w:rsidR="007B1A84" w:rsidRDefault="002A0261" w:rsidP="006A59AF">
      <w:pPr>
        <w:pStyle w:val="P68B1DB1-a58"/>
        <w:numPr>
          <w:ilvl w:val="0"/>
          <w:numId w:val="37"/>
        </w:numPr>
        <w:tabs>
          <w:tab w:val="left" w:pos="391"/>
          <w:tab w:val="left" w:pos="393"/>
        </w:tabs>
        <w:spacing w:after="120"/>
        <w:ind w:right="409"/>
      </w:pPr>
      <w:r>
        <w:t>Η οδηγία για τα απόβλητα αποσκοπεί στη βελτίωση της ποιότητας και της ποσότητας των πόρων που είναι κατάλληλοι για επαναχρησιμοποίηση και ανακύκλωση με την προώθηση της χωριστής συλλογής των αποβλήτων</w:t>
      </w:r>
      <w:r w:rsidR="00080FFE">
        <w:rPr>
          <w:rStyle w:val="FootnoteReference"/>
        </w:rPr>
        <w:footnoteReference w:id="1"/>
      </w:r>
      <w:r>
        <w:t>. Η οδηγία για τα απόβλητα υποχρεώνει τα κράτη μέλη να θεσπίσουν συστήματα για τη διασφάλιση της χωριστής συλλογής των διαφόρων ροών αποβλήτων (τύποι αποβλήτων).</w:t>
      </w:r>
    </w:p>
    <w:p w14:paraId="2B281827" w14:textId="59AF2ED6" w:rsidR="007B1A84" w:rsidRDefault="002A0261" w:rsidP="003E0C33">
      <w:pPr>
        <w:pStyle w:val="P68B1DB1-a58"/>
        <w:numPr>
          <w:ilvl w:val="0"/>
          <w:numId w:val="37"/>
        </w:numPr>
        <w:tabs>
          <w:tab w:val="left" w:pos="391"/>
          <w:tab w:val="left" w:pos="393"/>
        </w:tabs>
        <w:spacing w:after="120"/>
        <w:ind w:right="409"/>
      </w:pPr>
      <w:r>
        <w:t xml:space="preserve">Για την παροχή κινήτρων για τη χωριστή συλλογή αποβλήτων στα νοικοκυριά, τα κράτη μέλη μπορούν να θεσπίσουν οικονομικά κίνητρα. Το μέσο οικονομικής πολιτικής Pay-As-You-Throw (PAYT) απευθύνεται στους καταναλωτές με πρωταρχικό στόχο τη διασφάλιση της διαλογής των αστικών αποβλήτων στην πηγή και, ως εκ τούτου, την αύξηση της χωριστής συλλογής και ανακύκλωσης. Το PAYT απαιτεί από τα νοικοκυριά να πληρώνουν ανάλογα με τις ποσότητες των ροών αποβλήτων που διαχωρίζονται από την πηγή. Είναι ζωτικής σημασίας τα </w:t>
      </w:r>
      <w:r w:rsidR="00080FFE">
        <w:rPr>
          <w:lang w:val="el-GR"/>
        </w:rPr>
        <w:t>σύμ</w:t>
      </w:r>
      <w:r>
        <w:t>μεικτ</w:t>
      </w:r>
      <w:r w:rsidR="00080FFE">
        <w:rPr>
          <w:lang w:val="el-GR"/>
        </w:rPr>
        <w:t>α</w:t>
      </w:r>
      <w:r>
        <w:t xml:space="preserve"> απόβλητα να καταστούν ακριβότερα, ενώ τα ανακυκλώσιμα ρεύματα μπορεί στη συνέχεια να είναι πολύ λιγότερο δαπανηρά (σε ορισμένες περιπτώσεις σχεδόν </w:t>
      </w:r>
      <w:r w:rsidR="009B73BA">
        <w:rPr>
          <w:lang w:val="el-GR"/>
        </w:rPr>
        <w:t>ατελώς</w:t>
      </w:r>
      <w:r>
        <w:t xml:space="preserve">) για να δώσουν ένα σαφές κίνητρο για </w:t>
      </w:r>
      <w:r w:rsidR="003D32AB">
        <w:rPr>
          <w:lang w:val="el-GR"/>
        </w:rPr>
        <w:t>διαλογή</w:t>
      </w:r>
      <w:r>
        <w:t>.</w:t>
      </w:r>
    </w:p>
    <w:p w14:paraId="3C335361" w14:textId="77777777" w:rsidR="007B1A84" w:rsidRDefault="002A0261" w:rsidP="003E0C33">
      <w:pPr>
        <w:pStyle w:val="P68B1DB1-a58"/>
        <w:numPr>
          <w:ilvl w:val="0"/>
          <w:numId w:val="37"/>
        </w:numPr>
        <w:tabs>
          <w:tab w:val="left" w:pos="391"/>
          <w:tab w:val="left" w:pos="393"/>
        </w:tabs>
        <w:spacing w:after="120"/>
        <w:ind w:right="421"/>
      </w:pPr>
      <w:r>
        <w:t>Ομοίως, τα κράτη μέλη μπορούν να θεσπίσουν περιορισμούς στην υγειονομική ταφή όλων των αποβλήτων που είναι κατάλληλα για ανακύκλωση, καθώς και την επιβολή φόρων για την υγειονομική ταφή, ώστε να δοθούν κίνητρα στους δήμους να βελτιώσουν την αποτελεσματικότητα της διαλογής, της συλλογής και της ανακύκλωσης των αποβλήτων, με αποτέλεσμα τη μείωση των ποσοτήτων των υπολειμματικών αποβλήτων.</w:t>
      </w:r>
    </w:p>
    <w:p w14:paraId="18128775" w14:textId="77777777" w:rsidR="007B1A84" w:rsidRDefault="002A0261" w:rsidP="003E0C33">
      <w:pPr>
        <w:pStyle w:val="P68B1DB1-a58"/>
        <w:numPr>
          <w:ilvl w:val="0"/>
          <w:numId w:val="37"/>
        </w:numPr>
        <w:tabs>
          <w:tab w:val="left" w:pos="391"/>
          <w:tab w:val="left" w:pos="393"/>
        </w:tabs>
        <w:spacing w:after="120"/>
        <w:ind w:right="427"/>
      </w:pPr>
      <w:r>
        <w:t>Η οδηγία για τα απόβλητα επαναλαμβάνει ότι η αρχή «ο ρυπαίνων πληρώνει» αποτελεί κατευθυντήρια αρχή στην περιβαλλοντική νομοθεσία, με την έννοια ότι ο παραγωγός αποβλήτων και ο κάτοχος των αποβλήτων πρέπει να διαχειρίζονται τα απόβλητα κατά τρόπο που να εγγυάται υψηλό επίπεδο προστασίας του περιβάλλοντος και της ανθρώπινης υγείας.</w:t>
      </w:r>
    </w:p>
    <w:p w14:paraId="19E35777" w14:textId="77777777" w:rsidR="007B1A84" w:rsidRDefault="002A0261" w:rsidP="003E0C33">
      <w:pPr>
        <w:pStyle w:val="P68B1DB1-a58"/>
        <w:numPr>
          <w:ilvl w:val="0"/>
          <w:numId w:val="37"/>
        </w:numPr>
        <w:tabs>
          <w:tab w:val="left" w:pos="391"/>
          <w:tab w:val="left" w:pos="393"/>
        </w:tabs>
        <w:spacing w:after="120"/>
        <w:ind w:right="413"/>
      </w:pPr>
      <w:r>
        <w:t>Η οδηγία για τα απόβλητα εισάγει την έννοια της διευρυμένης ευθύνης του παραγωγού (EPR), προκειμένου να διασφαλιστεί η μεταφορά (εν όλω ή εν μέρει) της χρηματοοικονομικής και λειτουργικής ευθύνης της διαχείρισης αποβλήτων από τις εθνικές αρχές/δήμους στους παραγωγούς αγαθών. Τα κράτη μέλη θα πρέπει να διασφαλίζουν ότι οι παραγωγοί, οι κατασκευαστές, οι ιδιοκτήτες εμπορικών σημάτων και οι πρώτοι εισαγωγείς προϊόντων και συσκευασιών έχουν τη νομική ευθύνη για τη συλλογή, την ανακύκλωση και τη διαχείριση στο τέλος του κύκλου ζωής των αντίστοιχων υλικών συσκευασίας.</w:t>
      </w:r>
    </w:p>
    <w:p w14:paraId="419F4067" w14:textId="438825F0" w:rsidR="007B1A84" w:rsidRDefault="002A0261" w:rsidP="003E0C33">
      <w:pPr>
        <w:pStyle w:val="P68B1DB1-a58"/>
        <w:numPr>
          <w:ilvl w:val="0"/>
          <w:numId w:val="37"/>
        </w:numPr>
        <w:tabs>
          <w:tab w:val="left" w:pos="391"/>
          <w:tab w:val="left" w:pos="393"/>
        </w:tabs>
        <w:spacing w:after="120"/>
        <w:ind w:right="428"/>
      </w:pPr>
      <w:r>
        <w:t xml:space="preserve">Το παρόν καθοδηγητικό σημείωμα αντικατοπτρίζει τις αλλαγές που επήλθαν στον κανονισμό (ΕΕ) αριθ. 651/2014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(ΓΚΑΚ) και εφαρμόζονται από την 1η Ιουλίου </w:t>
      </w:r>
      <w:hyperlink w:anchor="_bookmark7" w:history="1">
        <w:r>
          <w:t>2</w:t>
        </w:r>
      </w:hyperlink>
      <w:r>
        <w:t>023</w:t>
      </w:r>
      <w:r w:rsidR="00935CAC">
        <w:rPr>
          <w:rStyle w:val="FootnoteReference"/>
        </w:rPr>
        <w:footnoteReference w:id="2"/>
      </w:r>
      <w:r>
        <w:t>.</w:t>
      </w:r>
    </w:p>
    <w:p w14:paraId="0187A31D" w14:textId="77777777" w:rsidR="007B1A84" w:rsidRDefault="007B1A84" w:rsidP="003E0C33">
      <w:pPr>
        <w:pStyle w:val="BodyText"/>
        <w:spacing w:after="120"/>
      </w:pPr>
    </w:p>
    <w:p w14:paraId="4B8953CB" w14:textId="77777777" w:rsidR="007B1A84" w:rsidRDefault="002A0261" w:rsidP="003E0C33">
      <w:pPr>
        <w:pStyle w:val="Heading4"/>
        <w:numPr>
          <w:ilvl w:val="1"/>
          <w:numId w:val="40"/>
        </w:numPr>
        <w:tabs>
          <w:tab w:val="left" w:pos="601"/>
        </w:tabs>
        <w:spacing w:after="120"/>
        <w:ind w:hanging="576"/>
      </w:pPr>
      <w:bookmarkStart w:id="5" w:name="_bookmark5"/>
      <w:bookmarkEnd w:id="5"/>
      <w:r>
        <w:t>Ανάλυση των εφαρμοστέων στόχων για τις κρατικές ενισχύσεις</w:t>
      </w:r>
    </w:p>
    <w:p w14:paraId="06ED1435" w14:textId="77777777" w:rsidR="007B1A84" w:rsidRDefault="002A0261" w:rsidP="003E0C33">
      <w:pPr>
        <w:pStyle w:val="P68B1DB1-a58"/>
        <w:numPr>
          <w:ilvl w:val="0"/>
          <w:numId w:val="37"/>
        </w:numPr>
        <w:tabs>
          <w:tab w:val="left" w:pos="391"/>
          <w:tab w:val="left" w:pos="393"/>
        </w:tabs>
        <w:spacing w:after="120"/>
        <w:ind w:right="425"/>
      </w:pPr>
      <w:r>
        <w:t>Μπορεί να απαιτηθεί κρατική ενίσχυση για τη στήριξη του κόστους που συνδέεται με την επεξεργασία αποβλήτων, εάν ο δικαιούχος της κρατικής ενίσχυσης δεν θα πραγματοποιούσε τέτοιες δραστηριότητες (επενδύσεις) χωρίς κρατική ενίσχυση λαμβανομένων υπόψη των συνήθων επιχειρηματικών πρακτικών και των εμπορικών κινδύνων.</w:t>
      </w:r>
    </w:p>
    <w:p w14:paraId="502CDC71" w14:textId="77777777" w:rsidR="007B1A84" w:rsidRDefault="002A0261" w:rsidP="003E0C33">
      <w:pPr>
        <w:pStyle w:val="P68B1DB1-a58"/>
        <w:numPr>
          <w:ilvl w:val="0"/>
          <w:numId w:val="37"/>
        </w:numPr>
        <w:tabs>
          <w:tab w:val="left" w:pos="391"/>
          <w:tab w:val="left" w:pos="393"/>
        </w:tabs>
        <w:spacing w:after="120"/>
        <w:ind w:right="432"/>
      </w:pPr>
      <w:r>
        <w:t xml:space="preserve">Ο πίνακας 1 παρουσιάζει συνοπτικά τους στόχους των κρατικών ενισχύσεων που θα </w:t>
      </w:r>
      <w:r>
        <w:lastRenderedPageBreak/>
        <w:t>μπορούσαν κανονικά να χρησιμοποιηθούν για την παροχή στήριξης σε επενδύσεις στις υποδομές που συνδέονται με την επεξεργασία αποβλήτων και την παραγωγή νέων προϊόντων από τα απόβλητα.</w:t>
      </w:r>
    </w:p>
    <w:p w14:paraId="5AD91A83" w14:textId="77777777" w:rsidR="007B1A84" w:rsidRDefault="002A0261" w:rsidP="003E0C33">
      <w:pPr>
        <w:pStyle w:val="P68B1DB1-a12"/>
        <w:spacing w:after="120"/>
        <w:ind w:left="25" w:right="423"/>
        <w:jc w:val="both"/>
      </w:pPr>
      <w:r>
        <w:t>Πίνακας</w:t>
      </w:r>
      <w:r>
        <w:t xml:space="preserve"> 1: </w:t>
      </w:r>
      <w:r>
        <w:t>Συνδυασμός</w:t>
      </w:r>
      <w:r>
        <w:t xml:space="preserve"> </w:t>
      </w:r>
      <w:r>
        <w:t>εναλλακτικών</w:t>
      </w:r>
      <w:r>
        <w:t xml:space="preserve"> </w:t>
      </w:r>
      <w:r>
        <w:t>στόχων</w:t>
      </w:r>
      <w:r>
        <w:t xml:space="preserve"> </w:t>
      </w:r>
      <w:r>
        <w:t>κρατικών</w:t>
      </w:r>
      <w:r>
        <w:t xml:space="preserve"> </w:t>
      </w:r>
      <w:r>
        <w:t>ενισχύσεων</w:t>
      </w:r>
      <w:r>
        <w:t xml:space="preserve"> </w:t>
      </w:r>
      <w:r>
        <w:t>για</w:t>
      </w:r>
      <w:r>
        <w:t xml:space="preserve"> </w:t>
      </w:r>
      <w:r>
        <w:t>τη</w:t>
      </w:r>
      <w:r>
        <w:t xml:space="preserve"> </w:t>
      </w:r>
      <w:r>
        <w:t>στήριξη</w:t>
      </w:r>
      <w:r>
        <w:t xml:space="preserve"> </w:t>
      </w:r>
      <w:r>
        <w:t>υποδομών</w:t>
      </w:r>
      <w:r>
        <w:t xml:space="preserve"> </w:t>
      </w:r>
      <w:r>
        <w:t>που</w:t>
      </w:r>
      <w:r>
        <w:t xml:space="preserve"> </w:t>
      </w:r>
      <w:r>
        <w:t>συνδέονται</w:t>
      </w:r>
      <w:r>
        <w:t xml:space="preserve"> </w:t>
      </w:r>
      <w:r>
        <w:t>με</w:t>
      </w:r>
      <w:r>
        <w:t xml:space="preserve"> </w:t>
      </w:r>
      <w:r>
        <w:t>την</w:t>
      </w:r>
      <w:r>
        <w:t xml:space="preserve"> </w:t>
      </w:r>
      <w:r>
        <w:t>επεξεργασία</w:t>
      </w:r>
      <w:r>
        <w:t xml:space="preserve"> </w:t>
      </w:r>
      <w:r>
        <w:t>αποβλήτων</w:t>
      </w:r>
      <w:r>
        <w:t>.</w:t>
      </w:r>
    </w:p>
    <w:tbl>
      <w:tblPr>
        <w:tblStyle w:val="TableNormal1"/>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36"/>
        <w:gridCol w:w="2980"/>
        <w:gridCol w:w="3236"/>
        <w:gridCol w:w="112"/>
      </w:tblGrid>
      <w:tr w:rsidR="007B1A84" w14:paraId="649598DA" w14:textId="77777777" w:rsidTr="009866DC">
        <w:trPr>
          <w:trHeight w:val="1106"/>
        </w:trPr>
        <w:tc>
          <w:tcPr>
            <w:tcW w:w="5816" w:type="dxa"/>
            <w:gridSpan w:val="2"/>
            <w:shd w:val="clear" w:color="auto" w:fill="F9BE8F"/>
            <w:vAlign w:val="center"/>
          </w:tcPr>
          <w:p w14:paraId="4C82933C" w14:textId="77777777" w:rsidR="007B1A84" w:rsidRDefault="002A0261" w:rsidP="00A41DA1">
            <w:pPr>
              <w:pStyle w:val="P68B1DB1-TableParagraph13"/>
              <w:spacing w:after="120"/>
              <w:ind w:left="2137" w:hanging="1715"/>
              <w:rPr>
                <w:rFonts w:ascii="Arial"/>
                <w:b/>
                <w:i/>
              </w:rPr>
            </w:pPr>
            <w:r>
              <w:t xml:space="preserve">Στόχοι που </w:t>
            </w:r>
            <w:r>
              <w:rPr>
                <w:rFonts w:ascii="Arial"/>
                <w:b/>
                <w:i/>
              </w:rPr>
              <w:t>δεν</w:t>
            </w:r>
            <w:r>
              <w:rPr>
                <w:rFonts w:ascii="Arial"/>
                <w:b/>
                <w:i/>
              </w:rPr>
              <w:t xml:space="preserve"> </w:t>
            </w:r>
            <w:r>
              <w:rPr>
                <w:rFonts w:ascii="Arial"/>
                <w:b/>
                <w:i/>
              </w:rPr>
              <w:t>μπορούν</w:t>
            </w:r>
            <w:r>
              <w:rPr>
                <w:rFonts w:ascii="Arial"/>
                <w:b/>
                <w:i/>
              </w:rPr>
              <w:t xml:space="preserve"> </w:t>
            </w:r>
            <w:r>
              <w:rPr>
                <w:rFonts w:ascii="Arial"/>
                <w:b/>
                <w:i/>
              </w:rPr>
              <w:t>να</w:t>
            </w:r>
            <w:r>
              <w:rPr>
                <w:rFonts w:ascii="Arial"/>
                <w:b/>
                <w:i/>
              </w:rPr>
              <w:t xml:space="preserve"> </w:t>
            </w:r>
            <w:r>
              <w:rPr>
                <w:rFonts w:ascii="Arial"/>
                <w:b/>
                <w:i/>
              </w:rPr>
              <w:t>εφαρμοστούν</w:t>
            </w:r>
            <w:r>
              <w:rPr>
                <w:rFonts w:ascii="Arial"/>
                <w:b/>
                <w:i/>
              </w:rPr>
              <w:t xml:space="preserve"> </w:t>
            </w:r>
            <w:r>
              <w:rPr>
                <w:rFonts w:ascii="Arial"/>
                <w:b/>
                <w:i/>
              </w:rPr>
              <w:t>για</w:t>
            </w:r>
            <w:r>
              <w:rPr>
                <w:rFonts w:ascii="Arial"/>
                <w:b/>
                <w:i/>
              </w:rPr>
              <w:t xml:space="preserve"> </w:t>
            </w:r>
            <w:r>
              <w:rPr>
                <w:rFonts w:ascii="Arial"/>
                <w:b/>
                <w:i/>
              </w:rPr>
              <w:t>επενδύσεις</w:t>
            </w:r>
            <w:r>
              <w:rPr>
                <w:rFonts w:ascii="Arial"/>
                <w:b/>
                <w:i/>
              </w:rPr>
              <w:t xml:space="preserve"> </w:t>
            </w:r>
            <w:r>
              <w:rPr>
                <w:rFonts w:ascii="Arial"/>
                <w:b/>
                <w:i/>
              </w:rPr>
              <w:t>που</w:t>
            </w:r>
            <w:r>
              <w:rPr>
                <w:rFonts w:ascii="Arial"/>
                <w:b/>
                <w:i/>
              </w:rPr>
              <w:t xml:space="preserve"> </w:t>
            </w:r>
            <w:r>
              <w:rPr>
                <w:rFonts w:ascii="Arial"/>
                <w:b/>
                <w:i/>
              </w:rPr>
              <w:t>συνδέονται</w:t>
            </w:r>
            <w:r>
              <w:rPr>
                <w:rFonts w:ascii="Arial"/>
                <w:b/>
                <w:i/>
              </w:rPr>
              <w:t xml:space="preserve"> </w:t>
            </w:r>
            <w:r>
              <w:rPr>
                <w:rFonts w:ascii="Arial"/>
                <w:b/>
                <w:i/>
              </w:rPr>
              <w:t>με</w:t>
            </w:r>
            <w:r>
              <w:rPr>
                <w:rFonts w:ascii="Arial"/>
                <w:b/>
                <w:i/>
              </w:rPr>
              <w:t xml:space="preserve"> </w:t>
            </w:r>
            <w:r>
              <w:rPr>
                <w:rFonts w:ascii="Arial"/>
                <w:b/>
                <w:i/>
              </w:rPr>
              <w:t>την</w:t>
            </w:r>
            <w:r>
              <w:rPr>
                <w:rFonts w:ascii="Arial"/>
                <w:b/>
                <w:i/>
              </w:rPr>
              <w:t xml:space="preserve"> </w:t>
            </w:r>
            <w:r>
              <w:rPr>
                <w:rFonts w:ascii="Arial"/>
                <w:b/>
                <w:i/>
              </w:rPr>
              <w:t>παραγωγή</w:t>
            </w:r>
            <w:r>
              <w:rPr>
                <w:rFonts w:ascii="Arial"/>
                <w:b/>
                <w:i/>
              </w:rPr>
              <w:t xml:space="preserve"> </w:t>
            </w:r>
            <w:r>
              <w:rPr>
                <w:rFonts w:ascii="Arial"/>
                <w:b/>
                <w:i/>
              </w:rPr>
              <w:t>ενέργειας</w:t>
            </w:r>
          </w:p>
        </w:tc>
        <w:tc>
          <w:tcPr>
            <w:tcW w:w="3348" w:type="dxa"/>
            <w:gridSpan w:val="2"/>
            <w:shd w:val="clear" w:color="auto" w:fill="F9BE8F"/>
            <w:vAlign w:val="center"/>
          </w:tcPr>
          <w:p w14:paraId="485739D7" w14:textId="77777777" w:rsidR="007B1A84" w:rsidRDefault="002A0261" w:rsidP="00A41DA1">
            <w:pPr>
              <w:pStyle w:val="P68B1DB1-TableParagraph13"/>
              <w:spacing w:after="120"/>
              <w:ind w:left="94"/>
              <w:jc w:val="center"/>
              <w:rPr>
                <w:rFonts w:ascii="Arial"/>
                <w:b/>
                <w:i/>
              </w:rPr>
            </w:pPr>
            <w:r>
              <w:t xml:space="preserve">Στόχοι </w:t>
            </w:r>
            <w:r>
              <w:rPr>
                <w:rFonts w:ascii="Arial"/>
                <w:b/>
                <w:i/>
              </w:rPr>
              <w:t>που</w:t>
            </w:r>
            <w:r>
              <w:rPr>
                <w:rFonts w:ascii="Arial"/>
                <w:b/>
                <w:i/>
              </w:rPr>
              <w:t xml:space="preserve"> </w:t>
            </w:r>
            <w:r>
              <w:rPr>
                <w:rFonts w:ascii="Arial"/>
                <w:b/>
                <w:i/>
              </w:rPr>
              <w:t>πρέπει</w:t>
            </w:r>
            <w:r>
              <w:rPr>
                <w:rFonts w:ascii="Arial"/>
                <w:b/>
                <w:i/>
              </w:rPr>
              <w:t xml:space="preserve"> </w:t>
            </w:r>
            <w:r>
              <w:rPr>
                <w:rFonts w:ascii="Arial"/>
                <w:b/>
                <w:i/>
              </w:rPr>
              <w:t>να</w:t>
            </w:r>
            <w:r>
              <w:rPr>
                <w:rFonts w:ascii="Arial"/>
                <w:b/>
                <w:i/>
              </w:rPr>
              <w:t xml:space="preserve"> </w:t>
            </w:r>
            <w:r>
              <w:rPr>
                <w:rFonts w:ascii="Arial"/>
                <w:b/>
                <w:i/>
              </w:rPr>
              <w:t>εφαρμοστούν</w:t>
            </w:r>
            <w:r>
              <w:rPr>
                <w:rFonts w:ascii="Arial"/>
                <w:b/>
                <w:i/>
              </w:rPr>
              <w:t xml:space="preserve"> </w:t>
            </w:r>
            <w:r>
              <w:rPr>
                <w:rFonts w:ascii="Arial"/>
                <w:b/>
                <w:i/>
              </w:rPr>
              <w:t>για</w:t>
            </w:r>
            <w:r>
              <w:rPr>
                <w:rFonts w:ascii="Arial"/>
                <w:b/>
                <w:i/>
              </w:rPr>
              <w:t xml:space="preserve"> </w:t>
            </w:r>
            <w:r>
              <w:rPr>
                <w:rFonts w:ascii="Arial"/>
                <w:b/>
                <w:i/>
              </w:rPr>
              <w:t>επενδύσεις</w:t>
            </w:r>
            <w:r>
              <w:rPr>
                <w:rFonts w:ascii="Arial"/>
                <w:b/>
                <w:i/>
              </w:rPr>
              <w:t xml:space="preserve"> </w:t>
            </w:r>
            <w:r>
              <w:rPr>
                <w:rFonts w:ascii="Arial"/>
                <w:b/>
                <w:i/>
              </w:rPr>
              <w:t>που</w:t>
            </w:r>
            <w:r>
              <w:rPr>
                <w:rFonts w:ascii="Arial"/>
                <w:b/>
                <w:i/>
              </w:rPr>
              <w:t xml:space="preserve"> </w:t>
            </w:r>
            <w:r>
              <w:rPr>
                <w:rFonts w:ascii="Arial"/>
                <w:b/>
                <w:i/>
              </w:rPr>
              <w:t>συνδέονται</w:t>
            </w:r>
            <w:r>
              <w:rPr>
                <w:rFonts w:ascii="Arial"/>
                <w:b/>
                <w:i/>
              </w:rPr>
              <w:t xml:space="preserve"> </w:t>
            </w:r>
            <w:r>
              <w:rPr>
                <w:rFonts w:ascii="Arial"/>
                <w:b/>
                <w:i/>
              </w:rPr>
              <w:t>με</w:t>
            </w:r>
            <w:r>
              <w:rPr>
                <w:rFonts w:ascii="Arial"/>
                <w:b/>
                <w:i/>
              </w:rPr>
              <w:t xml:space="preserve"> </w:t>
            </w:r>
            <w:r>
              <w:rPr>
                <w:rFonts w:ascii="Arial"/>
                <w:b/>
                <w:i/>
              </w:rPr>
              <w:t>την</w:t>
            </w:r>
            <w:r>
              <w:rPr>
                <w:rFonts w:ascii="Arial"/>
                <w:b/>
                <w:i/>
              </w:rPr>
              <w:t xml:space="preserve"> </w:t>
            </w:r>
            <w:r>
              <w:rPr>
                <w:rFonts w:ascii="Arial"/>
                <w:b/>
                <w:i/>
              </w:rPr>
              <w:t>παραγωγή</w:t>
            </w:r>
            <w:r>
              <w:rPr>
                <w:rFonts w:ascii="Arial"/>
                <w:b/>
                <w:i/>
              </w:rPr>
              <w:t xml:space="preserve"> </w:t>
            </w:r>
            <w:r>
              <w:rPr>
                <w:rFonts w:ascii="Arial"/>
                <w:b/>
                <w:i/>
              </w:rPr>
              <w:t>ενέργειας</w:t>
            </w:r>
          </w:p>
          <w:p w14:paraId="5552CD2A" w14:textId="77777777" w:rsidR="007B1A84" w:rsidRDefault="002A0261" w:rsidP="00A41DA1">
            <w:pPr>
              <w:pStyle w:val="P68B1DB1-TableParagraph14"/>
              <w:spacing w:after="120"/>
              <w:ind w:left="22"/>
              <w:jc w:val="center"/>
            </w:pPr>
            <w:r>
              <w:t>(</w:t>
            </w:r>
            <w:r>
              <w:t>Δεν</w:t>
            </w:r>
            <w:r>
              <w:t xml:space="preserve"> </w:t>
            </w:r>
            <w:r>
              <w:t>καλύπτεται</w:t>
            </w:r>
            <w:r>
              <w:t xml:space="preserve"> </w:t>
            </w:r>
            <w:r>
              <w:t>από</w:t>
            </w:r>
            <w:r>
              <w:t xml:space="preserve"> </w:t>
            </w:r>
            <w:r>
              <w:t>το</w:t>
            </w:r>
            <w:r>
              <w:t xml:space="preserve"> </w:t>
            </w:r>
            <w:r>
              <w:t>παρόν</w:t>
            </w:r>
            <w:r>
              <w:t xml:space="preserve"> </w:t>
            </w:r>
            <w:r>
              <w:t>επεξηγηματικό</w:t>
            </w:r>
            <w:r>
              <w:t xml:space="preserve"> </w:t>
            </w:r>
            <w:r>
              <w:t>σημείωμα</w:t>
            </w:r>
            <w:r>
              <w:t>)</w:t>
            </w:r>
          </w:p>
        </w:tc>
      </w:tr>
      <w:tr w:rsidR="007B1A84" w14:paraId="5E0162B2" w14:textId="77777777">
        <w:trPr>
          <w:trHeight w:val="315"/>
        </w:trPr>
        <w:tc>
          <w:tcPr>
            <w:tcW w:w="2836" w:type="dxa"/>
            <w:shd w:val="clear" w:color="auto" w:fill="FAD3B4"/>
          </w:tcPr>
          <w:p w14:paraId="5A15BFCE" w14:textId="77777777" w:rsidR="007B1A84" w:rsidRDefault="002A0261" w:rsidP="003E0C33">
            <w:pPr>
              <w:pStyle w:val="P68B1DB1-TableParagraph13"/>
              <w:spacing w:after="120"/>
              <w:ind w:left="15"/>
              <w:jc w:val="center"/>
            </w:pPr>
            <w:r>
              <w:t>[1]</w:t>
            </w:r>
          </w:p>
        </w:tc>
        <w:tc>
          <w:tcPr>
            <w:tcW w:w="2980" w:type="dxa"/>
            <w:shd w:val="clear" w:color="auto" w:fill="FAD3B4"/>
          </w:tcPr>
          <w:p w14:paraId="0F6C2F29" w14:textId="77777777" w:rsidR="007B1A84" w:rsidRDefault="002A0261" w:rsidP="003E0C33">
            <w:pPr>
              <w:pStyle w:val="P68B1DB1-TableParagraph13"/>
              <w:spacing w:after="120"/>
              <w:ind w:left="32"/>
              <w:jc w:val="center"/>
            </w:pPr>
            <w:r>
              <w:t>[2]</w:t>
            </w:r>
          </w:p>
        </w:tc>
        <w:tc>
          <w:tcPr>
            <w:tcW w:w="3236" w:type="dxa"/>
            <w:shd w:val="clear" w:color="auto" w:fill="D9D9D9"/>
          </w:tcPr>
          <w:p w14:paraId="4459EBE5" w14:textId="77777777" w:rsidR="007B1A84" w:rsidRDefault="002A0261" w:rsidP="003E0C33">
            <w:pPr>
              <w:pStyle w:val="P68B1DB1-TableParagraph13"/>
              <w:spacing w:after="120"/>
              <w:ind w:left="32"/>
              <w:jc w:val="center"/>
            </w:pPr>
            <w:r>
              <w:t>[3]</w:t>
            </w:r>
          </w:p>
        </w:tc>
        <w:tc>
          <w:tcPr>
            <w:tcW w:w="112" w:type="dxa"/>
            <w:tcBorders>
              <w:bottom w:val="nil"/>
              <w:right w:val="nil"/>
            </w:tcBorders>
            <w:shd w:val="clear" w:color="auto" w:fill="D9D9D9"/>
          </w:tcPr>
          <w:p w14:paraId="48BB8C47" w14:textId="77777777" w:rsidR="007B1A84" w:rsidRDefault="007B1A84" w:rsidP="003E0C33">
            <w:pPr>
              <w:pStyle w:val="TableParagraph"/>
              <w:spacing w:after="120"/>
              <w:rPr>
                <w:rFonts w:ascii="Times New Roman"/>
                <w:sz w:val="16"/>
              </w:rPr>
            </w:pPr>
          </w:p>
        </w:tc>
      </w:tr>
      <w:tr w:rsidR="007B1A84" w14:paraId="4F59DC29" w14:textId="77777777" w:rsidTr="00155292">
        <w:trPr>
          <w:trHeight w:val="739"/>
        </w:trPr>
        <w:tc>
          <w:tcPr>
            <w:tcW w:w="2836" w:type="dxa"/>
            <w:vAlign w:val="center"/>
          </w:tcPr>
          <w:p w14:paraId="76343DDF" w14:textId="77777777" w:rsidR="007B1A84" w:rsidRDefault="002A0261" w:rsidP="003660FE">
            <w:pPr>
              <w:pStyle w:val="P68B1DB1-TableParagraph13"/>
              <w:spacing w:after="120"/>
              <w:ind w:left="118" w:right="84"/>
              <w:rPr>
                <w:rFonts w:ascii="Arial"/>
                <w:b/>
                <w:i/>
              </w:rPr>
            </w:pPr>
            <w:r>
              <w:t xml:space="preserve">Εφαρμόζεται μόνο </w:t>
            </w:r>
            <w:r>
              <w:rPr>
                <w:rFonts w:ascii="Arial"/>
                <w:b/>
                <w:i/>
              </w:rPr>
              <w:t>όταν</w:t>
            </w:r>
            <w:r>
              <w:rPr>
                <w:rFonts w:ascii="Arial"/>
                <w:b/>
                <w:i/>
              </w:rPr>
              <w:t xml:space="preserve"> </w:t>
            </w:r>
            <w:r>
              <w:rPr>
                <w:rFonts w:ascii="Arial"/>
                <w:b/>
                <w:i/>
              </w:rPr>
              <w:t>η</w:t>
            </w:r>
            <w:r>
              <w:rPr>
                <w:rFonts w:ascii="Arial"/>
                <w:b/>
                <w:i/>
              </w:rPr>
              <w:t xml:space="preserve"> </w:t>
            </w:r>
            <w:r>
              <w:rPr>
                <w:rFonts w:ascii="Arial"/>
                <w:b/>
                <w:i/>
              </w:rPr>
              <w:t>υπηρεσία</w:t>
            </w:r>
            <w:r>
              <w:rPr>
                <w:rFonts w:ascii="Arial"/>
                <w:b/>
                <w:i/>
              </w:rPr>
              <w:t xml:space="preserve"> </w:t>
            </w:r>
            <w:r>
              <w:rPr>
                <w:rFonts w:ascii="Arial"/>
                <w:b/>
                <w:i/>
              </w:rPr>
              <w:t>δεν</w:t>
            </w:r>
            <w:r>
              <w:rPr>
                <w:rFonts w:ascii="Arial"/>
                <w:b/>
                <w:i/>
              </w:rPr>
              <w:t xml:space="preserve"> </w:t>
            </w:r>
            <w:r>
              <w:rPr>
                <w:rFonts w:ascii="Arial"/>
                <w:b/>
                <w:i/>
              </w:rPr>
              <w:t>μπορεί</w:t>
            </w:r>
            <w:r>
              <w:rPr>
                <w:rFonts w:ascii="Arial"/>
                <w:b/>
                <w:i/>
              </w:rPr>
              <w:t xml:space="preserve"> </w:t>
            </w:r>
            <w:r>
              <w:rPr>
                <w:rFonts w:ascii="Arial"/>
                <w:b/>
                <w:i/>
              </w:rPr>
              <w:t>να</w:t>
            </w:r>
            <w:r>
              <w:rPr>
                <w:rFonts w:ascii="Arial"/>
                <w:b/>
                <w:i/>
              </w:rPr>
              <w:t xml:space="preserve"> </w:t>
            </w:r>
            <w:r>
              <w:rPr>
                <w:rFonts w:ascii="Arial"/>
                <w:b/>
                <w:i/>
              </w:rPr>
              <w:t>παρασχεθεί</w:t>
            </w:r>
            <w:r>
              <w:rPr>
                <w:rFonts w:ascii="Arial"/>
                <w:b/>
                <w:i/>
              </w:rPr>
              <w:t xml:space="preserve"> </w:t>
            </w:r>
            <w:r>
              <w:rPr>
                <w:rFonts w:ascii="Arial"/>
                <w:b/>
                <w:i/>
              </w:rPr>
              <w:t>ικανοποιητικά</w:t>
            </w:r>
            <w:r>
              <w:rPr>
                <w:rFonts w:ascii="Arial"/>
                <w:b/>
                <w:i/>
              </w:rPr>
              <w:t xml:space="preserve"> </w:t>
            </w:r>
            <w:r>
              <w:rPr>
                <w:rFonts w:ascii="Arial"/>
                <w:b/>
                <w:i/>
              </w:rPr>
              <w:t>υπό</w:t>
            </w:r>
            <w:r>
              <w:rPr>
                <w:rFonts w:ascii="Arial"/>
                <w:b/>
                <w:i/>
              </w:rPr>
              <w:t xml:space="preserve"> </w:t>
            </w:r>
            <w:r>
              <w:rPr>
                <w:rFonts w:ascii="Arial"/>
                <w:b/>
                <w:i/>
              </w:rPr>
              <w:t>κανονικές</w:t>
            </w:r>
            <w:r>
              <w:rPr>
                <w:rFonts w:ascii="Arial"/>
                <w:b/>
                <w:i/>
              </w:rPr>
              <w:t xml:space="preserve"> </w:t>
            </w:r>
            <w:r>
              <w:rPr>
                <w:rFonts w:ascii="Arial"/>
                <w:b/>
                <w:i/>
              </w:rPr>
              <w:t>συνθήκες</w:t>
            </w:r>
            <w:r>
              <w:rPr>
                <w:rFonts w:ascii="Arial"/>
                <w:b/>
                <w:i/>
              </w:rPr>
              <w:t xml:space="preserve"> </w:t>
            </w:r>
            <w:r>
              <w:rPr>
                <w:rFonts w:ascii="Arial"/>
                <w:b/>
                <w:i/>
              </w:rPr>
              <w:t>αγοράς</w:t>
            </w:r>
          </w:p>
        </w:tc>
        <w:tc>
          <w:tcPr>
            <w:tcW w:w="2980" w:type="dxa"/>
            <w:vAlign w:val="center"/>
          </w:tcPr>
          <w:p w14:paraId="4D3693D7" w14:textId="77777777" w:rsidR="007B1A84" w:rsidRDefault="002A0261" w:rsidP="003660FE">
            <w:pPr>
              <w:pStyle w:val="P68B1DB1-TableParagraph13"/>
              <w:spacing w:after="120"/>
              <w:ind w:left="118" w:right="87"/>
              <w:rPr>
                <w:rFonts w:ascii="Arial"/>
                <w:b/>
                <w:i/>
              </w:rPr>
            </w:pPr>
            <w:r>
              <w:t xml:space="preserve">Εφαρμόζεται </w:t>
            </w:r>
            <w:r>
              <w:rPr>
                <w:rFonts w:ascii="Arial"/>
                <w:b/>
                <w:i/>
              </w:rPr>
              <w:t>όταν</w:t>
            </w:r>
            <w:r>
              <w:rPr>
                <w:rFonts w:ascii="Arial"/>
                <w:b/>
                <w:i/>
              </w:rPr>
              <w:t xml:space="preserve"> </w:t>
            </w:r>
            <w:r>
              <w:rPr>
                <w:rFonts w:ascii="Arial"/>
                <w:b/>
                <w:i/>
              </w:rPr>
              <w:t>η</w:t>
            </w:r>
            <w:r>
              <w:rPr>
                <w:rFonts w:ascii="Arial"/>
                <w:b/>
                <w:i/>
              </w:rPr>
              <w:t xml:space="preserve"> </w:t>
            </w:r>
            <w:r>
              <w:rPr>
                <w:rFonts w:ascii="Arial"/>
                <w:b/>
                <w:i/>
              </w:rPr>
              <w:t>υπηρεσία</w:t>
            </w:r>
            <w:r>
              <w:rPr>
                <w:rFonts w:ascii="Arial"/>
                <w:b/>
                <w:i/>
              </w:rPr>
              <w:t xml:space="preserve"> </w:t>
            </w:r>
            <w:r>
              <w:rPr>
                <w:rFonts w:ascii="Arial"/>
                <w:b/>
                <w:i/>
              </w:rPr>
              <w:t>είναι</w:t>
            </w:r>
            <w:r>
              <w:rPr>
                <w:rFonts w:ascii="Arial"/>
                <w:b/>
                <w:i/>
              </w:rPr>
              <w:t>/</w:t>
            </w:r>
            <w:r>
              <w:rPr>
                <w:rFonts w:ascii="Arial"/>
                <w:b/>
                <w:i/>
              </w:rPr>
              <w:t>μπορεί</w:t>
            </w:r>
            <w:r>
              <w:rPr>
                <w:rFonts w:ascii="Arial"/>
                <w:b/>
                <w:i/>
              </w:rPr>
              <w:t xml:space="preserve"> </w:t>
            </w:r>
            <w:r>
              <w:rPr>
                <w:rFonts w:ascii="Arial"/>
                <w:b/>
                <w:i/>
              </w:rPr>
              <w:t>να</w:t>
            </w:r>
            <w:r>
              <w:rPr>
                <w:rFonts w:ascii="Arial"/>
                <w:b/>
                <w:i/>
              </w:rPr>
              <w:t xml:space="preserve"> </w:t>
            </w:r>
            <w:r>
              <w:rPr>
                <w:rFonts w:ascii="Arial"/>
                <w:b/>
                <w:i/>
              </w:rPr>
              <w:t>είναι</w:t>
            </w:r>
            <w:r>
              <w:rPr>
                <w:rFonts w:ascii="Arial"/>
                <w:b/>
                <w:i/>
              </w:rPr>
              <w:t xml:space="preserve"> </w:t>
            </w:r>
            <w:r>
              <w:rPr>
                <w:rFonts w:ascii="Arial"/>
                <w:b/>
                <w:i/>
              </w:rPr>
              <w:t>ικανοποιητική</w:t>
            </w:r>
            <w:r>
              <w:rPr>
                <w:rFonts w:ascii="Arial"/>
                <w:b/>
                <w:i/>
              </w:rPr>
              <w:t xml:space="preserve"> </w:t>
            </w:r>
            <w:r>
              <w:rPr>
                <w:rFonts w:ascii="Arial"/>
                <w:b/>
                <w:i/>
              </w:rPr>
              <w:t>από</w:t>
            </w:r>
            <w:r>
              <w:rPr>
                <w:rFonts w:ascii="Arial"/>
                <w:b/>
                <w:i/>
              </w:rPr>
              <w:t xml:space="preserve"> </w:t>
            </w:r>
            <w:r>
              <w:rPr>
                <w:rFonts w:ascii="Arial"/>
                <w:b/>
                <w:i/>
              </w:rPr>
              <w:t>την</w:t>
            </w:r>
            <w:r>
              <w:rPr>
                <w:rFonts w:ascii="Arial"/>
                <w:b/>
                <w:i/>
              </w:rPr>
              <w:t xml:space="preserve"> </w:t>
            </w:r>
            <w:r>
              <w:rPr>
                <w:rFonts w:ascii="Arial"/>
                <w:b/>
                <w:i/>
              </w:rPr>
              <w:t>αγορά</w:t>
            </w:r>
          </w:p>
        </w:tc>
        <w:tc>
          <w:tcPr>
            <w:tcW w:w="3236" w:type="dxa"/>
            <w:shd w:val="clear" w:color="auto" w:fill="D9D9D9"/>
            <w:vAlign w:val="center"/>
          </w:tcPr>
          <w:p w14:paraId="41CA3558" w14:textId="77777777" w:rsidR="007B1A84" w:rsidRPr="000F22AD" w:rsidRDefault="002A0261" w:rsidP="003660FE">
            <w:pPr>
              <w:pStyle w:val="P68B1DB1-TableParagraph13"/>
              <w:spacing w:after="120"/>
              <w:ind w:left="117"/>
            </w:pPr>
            <w:r w:rsidRPr="000F22AD">
              <w:t>Η παραγωγή ενέργειας, κατά κανόνα, είναι μια υπηρεσία που παρέχεται από την αγορά</w:t>
            </w:r>
          </w:p>
        </w:tc>
        <w:tc>
          <w:tcPr>
            <w:tcW w:w="112" w:type="dxa"/>
            <w:tcBorders>
              <w:top w:val="nil"/>
              <w:bottom w:val="nil"/>
              <w:right w:val="nil"/>
            </w:tcBorders>
            <w:shd w:val="clear" w:color="auto" w:fill="D9D9D9"/>
            <w:vAlign w:val="center"/>
          </w:tcPr>
          <w:p w14:paraId="056D5B72" w14:textId="77777777" w:rsidR="007B1A84" w:rsidRDefault="007B1A84" w:rsidP="003660FE">
            <w:pPr>
              <w:pStyle w:val="TableParagraph"/>
              <w:spacing w:after="120"/>
              <w:rPr>
                <w:rFonts w:ascii="Times New Roman"/>
                <w:sz w:val="16"/>
              </w:rPr>
            </w:pPr>
          </w:p>
        </w:tc>
      </w:tr>
      <w:tr w:rsidR="007B1A84" w14:paraId="5D9A5BBD" w14:textId="77777777" w:rsidTr="00155292">
        <w:trPr>
          <w:trHeight w:val="1618"/>
        </w:trPr>
        <w:tc>
          <w:tcPr>
            <w:tcW w:w="2836" w:type="dxa"/>
            <w:vMerge w:val="restart"/>
            <w:vAlign w:val="center"/>
          </w:tcPr>
          <w:p w14:paraId="36E8A61A" w14:textId="77777777" w:rsidR="007B1A84" w:rsidRDefault="002A0261" w:rsidP="003660FE">
            <w:pPr>
              <w:pStyle w:val="P68B1DB1-TableParagraph15"/>
              <w:spacing w:after="120"/>
              <w:ind w:left="118"/>
            </w:pPr>
            <w:r>
              <w:t>Υπηρεσίες</w:t>
            </w:r>
            <w:r>
              <w:t xml:space="preserve"> </w:t>
            </w:r>
            <w:r>
              <w:t>γενικού</w:t>
            </w:r>
            <w:r>
              <w:t xml:space="preserve"> </w:t>
            </w:r>
            <w:r>
              <w:t>οικονομικού</w:t>
            </w:r>
            <w:r>
              <w:t xml:space="preserve"> </w:t>
            </w:r>
            <w:r>
              <w:t>συμφέροντος</w:t>
            </w:r>
            <w:r>
              <w:t xml:space="preserve"> (</w:t>
            </w:r>
            <w:r>
              <w:t>ΥΓΟΣ</w:t>
            </w:r>
            <w:r>
              <w:t>)</w:t>
            </w:r>
          </w:p>
          <w:p w14:paraId="163914B5" w14:textId="31E3F140" w:rsidR="007B1A84" w:rsidRDefault="002A0261" w:rsidP="003660FE">
            <w:pPr>
              <w:pStyle w:val="P68B1DB1-TableParagraph13"/>
              <w:numPr>
                <w:ilvl w:val="0"/>
                <w:numId w:val="36"/>
              </w:numPr>
              <w:tabs>
                <w:tab w:val="left" w:pos="486"/>
              </w:tabs>
              <w:spacing w:after="120"/>
              <w:ind w:hanging="368"/>
            </w:pPr>
            <w:r>
              <w:t xml:space="preserve">Altmark </w:t>
            </w:r>
            <w:r w:rsidR="003660FE">
              <w:rPr>
                <w:lang w:val="el-GR"/>
              </w:rPr>
              <w:t>απόφαση ΔΕΕ</w:t>
            </w:r>
            <w:r w:rsidR="003660FE">
              <w:rPr>
                <w:rStyle w:val="FootnoteReference"/>
                <w:lang w:val="el-GR"/>
              </w:rPr>
              <w:footnoteReference w:id="3"/>
            </w:r>
          </w:p>
          <w:p w14:paraId="26DC0E64" w14:textId="62646C8E" w:rsidR="007B1A84" w:rsidRDefault="002A0261" w:rsidP="003660FE">
            <w:pPr>
              <w:pStyle w:val="P68B1DB1-TableParagraph13"/>
              <w:numPr>
                <w:ilvl w:val="0"/>
                <w:numId w:val="36"/>
              </w:numPr>
              <w:tabs>
                <w:tab w:val="left" w:pos="486"/>
              </w:tabs>
              <w:spacing w:after="120"/>
              <w:ind w:hanging="368"/>
            </w:pPr>
            <w:r>
              <w:t>Απόφαση ΥΓΟΣ</w:t>
            </w:r>
            <w:r w:rsidR="003660FE">
              <w:rPr>
                <w:lang w:val="el-GR"/>
              </w:rPr>
              <w:t xml:space="preserve"> </w:t>
            </w:r>
            <w:hyperlink w:anchor="_bookmark9" w:history="1">
              <w:r>
                <w:t>.</w:t>
              </w:r>
              <w:r w:rsidR="003660FE">
                <w:rPr>
                  <w:rStyle w:val="FootnoteReference"/>
                </w:rPr>
                <w:footnoteReference w:id="4"/>
              </w:r>
            </w:hyperlink>
          </w:p>
          <w:p w14:paraId="6320D35D" w14:textId="41A573C1" w:rsidR="007B1A84" w:rsidRDefault="002A0261" w:rsidP="003660FE">
            <w:pPr>
              <w:pStyle w:val="P68B1DB1-TableParagraph13"/>
              <w:numPr>
                <w:ilvl w:val="0"/>
                <w:numId w:val="36"/>
              </w:numPr>
              <w:tabs>
                <w:tab w:val="left" w:pos="486"/>
              </w:tabs>
              <w:spacing w:after="120"/>
              <w:ind w:hanging="368"/>
            </w:pPr>
            <w:r>
              <w:t>Πλαίσιο ΥΓΟΣ</w:t>
            </w:r>
            <w:r w:rsidR="003660FE">
              <w:rPr>
                <w:rStyle w:val="FootnoteReference"/>
              </w:rPr>
              <w:footnoteReference w:id="5"/>
            </w:r>
          </w:p>
        </w:tc>
        <w:tc>
          <w:tcPr>
            <w:tcW w:w="2980" w:type="dxa"/>
          </w:tcPr>
          <w:p w14:paraId="7D598A19" w14:textId="77777777" w:rsidR="007B1A84" w:rsidRDefault="002A0261" w:rsidP="003E0C33">
            <w:pPr>
              <w:pStyle w:val="P68B1DB1-TableParagraph15"/>
              <w:spacing w:after="120"/>
              <w:ind w:left="118"/>
            </w:pPr>
            <w:r>
              <w:t>Περιφερειακές</w:t>
            </w:r>
            <w:r>
              <w:t xml:space="preserve"> </w:t>
            </w:r>
            <w:r>
              <w:t>επενδυτικές</w:t>
            </w:r>
            <w:r>
              <w:t xml:space="preserve"> </w:t>
            </w:r>
            <w:r>
              <w:t>ενισχύσεις</w:t>
            </w:r>
          </w:p>
          <w:p w14:paraId="6F13CFD3" w14:textId="19060399" w:rsidR="007B1A84" w:rsidRDefault="000A0FFC" w:rsidP="003E0C33">
            <w:pPr>
              <w:pStyle w:val="P68B1DB1-TableParagraph13"/>
              <w:numPr>
                <w:ilvl w:val="0"/>
                <w:numId w:val="35"/>
              </w:numPr>
              <w:tabs>
                <w:tab w:val="left" w:pos="486"/>
                <w:tab w:val="left" w:pos="1477"/>
                <w:tab w:val="left" w:pos="2005"/>
              </w:tabs>
              <w:spacing w:after="120"/>
              <w:ind w:hanging="368"/>
            </w:pPr>
            <w:r>
              <w:rPr>
                <w:lang w:val="el-GR"/>
              </w:rPr>
              <w:t xml:space="preserve">Κατευθυντήριες γραμμες Περιφερειακών Ενισχύσεων </w:t>
            </w:r>
            <w:r w:rsidRPr="000A0FFC">
              <w:rPr>
                <w:lang w:val="el-GR"/>
              </w:rPr>
              <w:t>(</w:t>
            </w:r>
            <w:r>
              <w:rPr>
                <w:lang w:val="en-GB"/>
              </w:rPr>
              <w:t>RAG</w:t>
            </w:r>
            <w:r w:rsidRPr="000A0FFC">
              <w:rPr>
                <w:lang w:val="el-GR"/>
              </w:rPr>
              <w:t>)</w:t>
            </w:r>
            <w:hyperlink w:anchor="_bookmark11" w:history="1">
              <w:r w:rsidR="002A0261">
                <w:rPr>
                  <w:vertAlign w:val="superscript"/>
                </w:rPr>
                <w:t>6</w:t>
              </w:r>
            </w:hyperlink>
            <w:r>
              <w:rPr>
                <w:rStyle w:val="FootnoteReference"/>
              </w:rPr>
              <w:footnoteReference w:id="6"/>
            </w:r>
          </w:p>
          <w:p w14:paraId="5E29B37B" w14:textId="3F9183B1" w:rsidR="007B1A84" w:rsidRDefault="002A0261" w:rsidP="003E0C33">
            <w:pPr>
              <w:pStyle w:val="P68B1DB1-TableParagraph13"/>
              <w:numPr>
                <w:ilvl w:val="0"/>
                <w:numId w:val="35"/>
              </w:numPr>
              <w:tabs>
                <w:tab w:val="left" w:pos="486"/>
              </w:tabs>
              <w:spacing w:after="120"/>
              <w:ind w:hanging="368"/>
            </w:pPr>
            <w:r>
              <w:t>ΓΚΑΚ</w:t>
            </w:r>
            <w:hyperlink w:anchor="_bookmark12" w:history="1">
              <w:r>
                <w:rPr>
                  <w:vertAlign w:val="superscript"/>
                </w:rPr>
                <w:t>7</w:t>
              </w:r>
              <w:r w:rsidR="000A0FFC">
                <w:rPr>
                  <w:rStyle w:val="FootnoteReference"/>
                </w:rPr>
                <w:footnoteReference w:id="7"/>
              </w:r>
              <w:r>
                <w:rPr>
                  <w:vertAlign w:val="superscript"/>
                </w:rPr>
                <w:t>,</w:t>
              </w:r>
            </w:hyperlink>
            <w:r>
              <w:t xml:space="preserve"> άρθρο 14</w:t>
            </w:r>
          </w:p>
        </w:tc>
        <w:tc>
          <w:tcPr>
            <w:tcW w:w="3236" w:type="dxa"/>
            <w:shd w:val="clear" w:color="auto" w:fill="D9D9D9"/>
          </w:tcPr>
          <w:p w14:paraId="00D75E70" w14:textId="77777777" w:rsidR="007B1A84" w:rsidRPr="000F22AD" w:rsidRDefault="002A0261" w:rsidP="000A0FFC">
            <w:pPr>
              <w:pStyle w:val="P68B1DB1-TableParagraph15"/>
              <w:spacing w:after="120"/>
              <w:ind w:left="117" w:right="81"/>
              <w:rPr>
                <w:b w:val="0"/>
              </w:rPr>
            </w:pPr>
            <w:r w:rsidRPr="000F22AD">
              <w:rPr>
                <w:b w:val="0"/>
              </w:rPr>
              <w:t>Παραγωγή</w:t>
            </w:r>
            <w:r w:rsidRPr="000F22AD">
              <w:rPr>
                <w:b w:val="0"/>
              </w:rPr>
              <w:t xml:space="preserve"> </w:t>
            </w:r>
            <w:r w:rsidRPr="000F22AD">
              <w:rPr>
                <w:b w:val="0"/>
              </w:rPr>
              <w:t>ενέργειας</w:t>
            </w:r>
            <w:r w:rsidRPr="000F22AD">
              <w:rPr>
                <w:b w:val="0"/>
              </w:rPr>
              <w:t xml:space="preserve"> </w:t>
            </w:r>
            <w:r w:rsidRPr="000F22AD">
              <w:rPr>
                <w:b w:val="0"/>
              </w:rPr>
              <w:t>από</w:t>
            </w:r>
            <w:r w:rsidRPr="000F22AD">
              <w:rPr>
                <w:b w:val="0"/>
              </w:rPr>
              <w:t xml:space="preserve"> </w:t>
            </w:r>
            <w:r w:rsidRPr="000F22AD">
              <w:rPr>
                <w:b w:val="0"/>
              </w:rPr>
              <w:t>ανανεώσιμες</w:t>
            </w:r>
            <w:r w:rsidRPr="000F22AD">
              <w:rPr>
                <w:b w:val="0"/>
              </w:rPr>
              <w:t xml:space="preserve"> </w:t>
            </w:r>
            <w:r w:rsidRPr="000F22AD">
              <w:rPr>
                <w:b w:val="0"/>
              </w:rPr>
              <w:t>πηγές</w:t>
            </w:r>
            <w:r w:rsidRPr="000F22AD">
              <w:rPr>
                <w:b w:val="0"/>
              </w:rPr>
              <w:t xml:space="preserve">, </w:t>
            </w:r>
            <w:r w:rsidRPr="000F22AD">
              <w:rPr>
                <w:b w:val="0"/>
              </w:rPr>
              <w:t>συμπεριλαμβανομένης</w:t>
            </w:r>
            <w:r w:rsidRPr="000F22AD">
              <w:rPr>
                <w:b w:val="0"/>
              </w:rPr>
              <w:t xml:space="preserve"> </w:t>
            </w:r>
            <w:r w:rsidRPr="000F22AD">
              <w:rPr>
                <w:b w:val="0"/>
              </w:rPr>
              <w:t>της</w:t>
            </w:r>
            <w:r w:rsidRPr="000F22AD">
              <w:rPr>
                <w:b w:val="0"/>
              </w:rPr>
              <w:t xml:space="preserve"> </w:t>
            </w:r>
            <w:r w:rsidRPr="000F22AD">
              <w:rPr>
                <w:b w:val="0"/>
              </w:rPr>
              <w:t>παραγωγής</w:t>
            </w:r>
            <w:r w:rsidRPr="000F22AD">
              <w:rPr>
                <w:b w:val="0"/>
              </w:rPr>
              <w:t xml:space="preserve"> </w:t>
            </w:r>
            <w:r w:rsidRPr="000F22AD">
              <w:rPr>
                <w:b w:val="0"/>
              </w:rPr>
              <w:t>βιοαερίου</w:t>
            </w:r>
            <w:r w:rsidRPr="000F22AD">
              <w:rPr>
                <w:b w:val="0"/>
              </w:rPr>
              <w:t xml:space="preserve"> </w:t>
            </w:r>
            <w:r w:rsidRPr="000F22AD">
              <w:rPr>
                <w:b w:val="0"/>
              </w:rPr>
              <w:t>και</w:t>
            </w:r>
            <w:r w:rsidRPr="000F22AD">
              <w:rPr>
                <w:b w:val="0"/>
              </w:rPr>
              <w:t xml:space="preserve"> </w:t>
            </w:r>
            <w:r w:rsidRPr="000F22AD">
              <w:rPr>
                <w:b w:val="0"/>
              </w:rPr>
              <w:t>καυσίμων</w:t>
            </w:r>
            <w:r w:rsidRPr="000F22AD">
              <w:rPr>
                <w:b w:val="0"/>
              </w:rPr>
              <w:t xml:space="preserve"> </w:t>
            </w:r>
            <w:r w:rsidRPr="000F22AD">
              <w:rPr>
                <w:b w:val="0"/>
              </w:rPr>
              <w:t>βιομάζας</w:t>
            </w:r>
            <w:r w:rsidRPr="000F22AD">
              <w:rPr>
                <w:b w:val="0"/>
              </w:rPr>
              <w:t>.</w:t>
            </w:r>
          </w:p>
          <w:p w14:paraId="614E9F9D" w14:textId="64CBBCDD" w:rsidR="007B1A84" w:rsidRPr="000F22AD" w:rsidRDefault="009866DC" w:rsidP="003E0C33">
            <w:pPr>
              <w:pStyle w:val="P68B1DB1-TableParagraph13"/>
              <w:numPr>
                <w:ilvl w:val="0"/>
                <w:numId w:val="34"/>
              </w:numPr>
              <w:tabs>
                <w:tab w:val="left" w:pos="486"/>
              </w:tabs>
              <w:spacing w:after="120"/>
            </w:pPr>
            <w:r w:rsidRPr="000F22AD">
              <w:t>ΚΓΕΚΕΠ</w:t>
            </w:r>
            <w:r w:rsidR="002A0261" w:rsidRPr="000F22AD">
              <w:t>, τμήμα 4.1</w:t>
            </w:r>
          </w:p>
          <w:p w14:paraId="204E3B55" w14:textId="77777777" w:rsidR="007B1A84" w:rsidRPr="000F22AD" w:rsidRDefault="002A0261" w:rsidP="003E0C33">
            <w:pPr>
              <w:pStyle w:val="P68B1DB1-TableParagraph13"/>
              <w:numPr>
                <w:ilvl w:val="0"/>
                <w:numId w:val="34"/>
              </w:numPr>
              <w:tabs>
                <w:tab w:val="left" w:pos="486"/>
              </w:tabs>
              <w:spacing w:after="120"/>
            </w:pPr>
            <w:r w:rsidRPr="000F22AD">
              <w:t>ΓΚΑΚ, άρθρο 41</w:t>
            </w:r>
          </w:p>
        </w:tc>
        <w:tc>
          <w:tcPr>
            <w:tcW w:w="112" w:type="dxa"/>
            <w:tcBorders>
              <w:top w:val="nil"/>
              <w:bottom w:val="nil"/>
              <w:right w:val="nil"/>
            </w:tcBorders>
            <w:shd w:val="clear" w:color="auto" w:fill="D9D9D9"/>
          </w:tcPr>
          <w:p w14:paraId="7446DD07" w14:textId="77777777" w:rsidR="007B1A84" w:rsidRDefault="007B1A84" w:rsidP="003E0C33">
            <w:pPr>
              <w:pStyle w:val="TableParagraph"/>
              <w:spacing w:after="120"/>
              <w:rPr>
                <w:rFonts w:ascii="Times New Roman"/>
                <w:sz w:val="16"/>
              </w:rPr>
            </w:pPr>
          </w:p>
        </w:tc>
      </w:tr>
      <w:tr w:rsidR="007B1A84" w14:paraId="11B9204D" w14:textId="77777777" w:rsidTr="000F22AD">
        <w:trPr>
          <w:trHeight w:val="1726"/>
        </w:trPr>
        <w:tc>
          <w:tcPr>
            <w:tcW w:w="2836" w:type="dxa"/>
            <w:vMerge/>
            <w:tcBorders>
              <w:top w:val="nil"/>
            </w:tcBorders>
          </w:tcPr>
          <w:p w14:paraId="05BE47CB" w14:textId="77777777" w:rsidR="007B1A84" w:rsidRDefault="007B1A84" w:rsidP="003E0C33">
            <w:pPr>
              <w:spacing w:after="120"/>
              <w:rPr>
                <w:sz w:val="2"/>
              </w:rPr>
            </w:pPr>
          </w:p>
        </w:tc>
        <w:tc>
          <w:tcPr>
            <w:tcW w:w="2980" w:type="dxa"/>
          </w:tcPr>
          <w:p w14:paraId="6FD4D9F6" w14:textId="77777777" w:rsidR="007B1A84" w:rsidRDefault="002A0261" w:rsidP="000A0FFC">
            <w:pPr>
              <w:pStyle w:val="P68B1DB1-TableParagraph15"/>
              <w:spacing w:after="120"/>
              <w:ind w:left="118" w:right="73"/>
            </w:pPr>
            <w:r>
              <w:t>Επενδυτικές</w:t>
            </w:r>
            <w:r>
              <w:t xml:space="preserve"> </w:t>
            </w:r>
            <w:r>
              <w:t>κρατικές</w:t>
            </w:r>
            <w:r>
              <w:t xml:space="preserve"> </w:t>
            </w:r>
            <w:r>
              <w:t>ενισχύσεις</w:t>
            </w:r>
            <w:r>
              <w:t xml:space="preserve"> </w:t>
            </w:r>
            <w:r>
              <w:t>για</w:t>
            </w:r>
            <w:r>
              <w:t xml:space="preserve"> </w:t>
            </w:r>
            <w:r>
              <w:t>τη</w:t>
            </w:r>
            <w:r>
              <w:t xml:space="preserve"> </w:t>
            </w:r>
            <w:r>
              <w:t>χωριστή</w:t>
            </w:r>
            <w:r>
              <w:t xml:space="preserve"> </w:t>
            </w:r>
            <w:r>
              <w:t>συλλογή</w:t>
            </w:r>
            <w:r>
              <w:t xml:space="preserve"> </w:t>
            </w:r>
            <w:r>
              <w:t>και</w:t>
            </w:r>
            <w:r>
              <w:t xml:space="preserve"> </w:t>
            </w:r>
            <w:r>
              <w:t>διαλογή</w:t>
            </w:r>
            <w:r>
              <w:t xml:space="preserve"> </w:t>
            </w:r>
            <w:r>
              <w:t>των</w:t>
            </w:r>
            <w:r>
              <w:t xml:space="preserve"> </w:t>
            </w:r>
            <w:r>
              <w:t>αποβλήτων</w:t>
            </w:r>
            <w:r>
              <w:t xml:space="preserve">, </w:t>
            </w:r>
            <w:r>
              <w:t>την</w:t>
            </w:r>
            <w:r>
              <w:t xml:space="preserve"> </w:t>
            </w:r>
            <w:r>
              <w:t>επαναχρησιμοποίηση</w:t>
            </w:r>
            <w:r>
              <w:t xml:space="preserve"> </w:t>
            </w:r>
            <w:r>
              <w:t>ή</w:t>
            </w:r>
            <w:r>
              <w:t xml:space="preserve"> </w:t>
            </w:r>
            <w:r>
              <w:t>την</w:t>
            </w:r>
            <w:r>
              <w:t xml:space="preserve"> </w:t>
            </w:r>
            <w:r>
              <w:t>ανακύκλωση</w:t>
            </w:r>
            <w:r>
              <w:t xml:space="preserve"> </w:t>
            </w:r>
            <w:r>
              <w:t>των</w:t>
            </w:r>
            <w:r>
              <w:t xml:space="preserve"> </w:t>
            </w:r>
            <w:r>
              <w:t>αποβλήτων</w:t>
            </w:r>
            <w:r>
              <w:t xml:space="preserve"> (</w:t>
            </w:r>
            <w:r>
              <w:t>κ</w:t>
            </w:r>
            <w:r>
              <w:t>.</w:t>
            </w:r>
            <w:r>
              <w:t>λπ</w:t>
            </w:r>
            <w:r>
              <w:t>.)</w:t>
            </w:r>
          </w:p>
          <w:p w14:paraId="53BA9A71" w14:textId="483210EA" w:rsidR="007B1A84" w:rsidRDefault="002A0261" w:rsidP="003E0C33">
            <w:pPr>
              <w:pStyle w:val="P68B1DB1-TableParagraph13"/>
              <w:numPr>
                <w:ilvl w:val="0"/>
                <w:numId w:val="33"/>
              </w:numPr>
              <w:tabs>
                <w:tab w:val="left" w:pos="486"/>
              </w:tabs>
              <w:spacing w:after="120"/>
              <w:ind w:hanging="368"/>
            </w:pPr>
            <w:r>
              <w:t>CEEAG</w:t>
            </w:r>
            <w:hyperlink w:anchor="_bookmark13" w:history="1">
              <w:r>
                <w:rPr>
                  <w:vertAlign w:val="superscript"/>
                </w:rPr>
                <w:t>8</w:t>
              </w:r>
              <w:r w:rsidR="000A0FFC">
                <w:rPr>
                  <w:rStyle w:val="FootnoteReference"/>
                </w:rPr>
                <w:footnoteReference w:id="8"/>
              </w:r>
              <w:r>
                <w:rPr>
                  <w:vertAlign w:val="superscript"/>
                </w:rPr>
                <w:t>,</w:t>
              </w:r>
            </w:hyperlink>
            <w:r>
              <w:t xml:space="preserve"> τμήμα 4.4</w:t>
            </w:r>
          </w:p>
          <w:p w14:paraId="38C3C66E" w14:textId="77777777" w:rsidR="007B1A84" w:rsidRDefault="002A0261" w:rsidP="003E0C33">
            <w:pPr>
              <w:pStyle w:val="P68B1DB1-TableParagraph13"/>
              <w:numPr>
                <w:ilvl w:val="0"/>
                <w:numId w:val="33"/>
              </w:numPr>
              <w:tabs>
                <w:tab w:val="left" w:pos="486"/>
              </w:tabs>
              <w:spacing w:after="120"/>
              <w:ind w:hanging="368"/>
            </w:pPr>
            <w:r>
              <w:t>ΓΚΑΚ, άρθρο 47</w:t>
            </w:r>
          </w:p>
        </w:tc>
        <w:tc>
          <w:tcPr>
            <w:tcW w:w="3236" w:type="dxa"/>
            <w:shd w:val="clear" w:color="auto" w:fill="D9D9D9"/>
          </w:tcPr>
          <w:p w14:paraId="22F4510E" w14:textId="77777777" w:rsidR="007B1A84" w:rsidRPr="000F22AD" w:rsidRDefault="002A0261" w:rsidP="003E0C33">
            <w:pPr>
              <w:pStyle w:val="P68B1DB1-TableParagraph15"/>
              <w:spacing w:after="120"/>
              <w:ind w:left="117"/>
              <w:rPr>
                <w:b w:val="0"/>
              </w:rPr>
            </w:pPr>
            <w:r w:rsidRPr="000F22AD">
              <w:rPr>
                <w:b w:val="0"/>
              </w:rPr>
              <w:t>Κρατικές</w:t>
            </w:r>
            <w:r w:rsidRPr="000F22AD">
              <w:rPr>
                <w:b w:val="0"/>
              </w:rPr>
              <w:t xml:space="preserve"> </w:t>
            </w:r>
            <w:r w:rsidRPr="000F22AD">
              <w:rPr>
                <w:b w:val="0"/>
              </w:rPr>
              <w:t>ενισχύσεις</w:t>
            </w:r>
            <w:r w:rsidRPr="000F22AD">
              <w:rPr>
                <w:b w:val="0"/>
              </w:rPr>
              <w:t xml:space="preserve"> </w:t>
            </w:r>
            <w:r w:rsidRPr="000F22AD">
              <w:rPr>
                <w:b w:val="0"/>
              </w:rPr>
              <w:t>επενδύσεων</w:t>
            </w:r>
            <w:r w:rsidRPr="000F22AD">
              <w:rPr>
                <w:b w:val="0"/>
              </w:rPr>
              <w:t xml:space="preserve"> </w:t>
            </w:r>
            <w:r w:rsidRPr="000F22AD">
              <w:rPr>
                <w:b w:val="0"/>
              </w:rPr>
              <w:t>για</w:t>
            </w:r>
            <w:r w:rsidRPr="000F22AD">
              <w:rPr>
                <w:b w:val="0"/>
              </w:rPr>
              <w:t xml:space="preserve"> </w:t>
            </w:r>
            <w:r w:rsidRPr="000F22AD">
              <w:rPr>
                <w:b w:val="0"/>
              </w:rPr>
              <w:t>συμπαραγωγή</w:t>
            </w:r>
            <w:r w:rsidRPr="000F22AD">
              <w:rPr>
                <w:b w:val="0"/>
              </w:rPr>
              <w:t xml:space="preserve"> </w:t>
            </w:r>
            <w:r w:rsidRPr="000F22AD">
              <w:rPr>
                <w:b w:val="0"/>
              </w:rPr>
              <w:t>υψηλής</w:t>
            </w:r>
            <w:r w:rsidRPr="000F22AD">
              <w:rPr>
                <w:b w:val="0"/>
              </w:rPr>
              <w:t xml:space="preserve"> </w:t>
            </w:r>
            <w:r w:rsidRPr="000F22AD">
              <w:rPr>
                <w:b w:val="0"/>
              </w:rPr>
              <w:t>απόδοσης</w:t>
            </w:r>
            <w:r w:rsidRPr="000F22AD">
              <w:rPr>
                <w:b w:val="0"/>
              </w:rPr>
              <w:t xml:space="preserve"> (CPH)</w:t>
            </w:r>
          </w:p>
          <w:p w14:paraId="11D64148" w14:textId="77777777" w:rsidR="007B1A84" w:rsidRPr="000F22AD" w:rsidRDefault="002A0261" w:rsidP="003E0C33">
            <w:pPr>
              <w:pStyle w:val="P68B1DB1-TableParagraph13"/>
              <w:numPr>
                <w:ilvl w:val="0"/>
                <w:numId w:val="32"/>
              </w:numPr>
              <w:tabs>
                <w:tab w:val="left" w:pos="486"/>
              </w:tabs>
              <w:spacing w:after="120"/>
            </w:pPr>
            <w:r w:rsidRPr="000F22AD">
              <w:t>ΚΓΕΚΕΠ, τμήμα 4.1</w:t>
            </w:r>
          </w:p>
          <w:p w14:paraId="63932DA9" w14:textId="77777777" w:rsidR="007B1A84" w:rsidRPr="000F22AD" w:rsidRDefault="002A0261" w:rsidP="003E0C33">
            <w:pPr>
              <w:pStyle w:val="P68B1DB1-TableParagraph13"/>
              <w:numPr>
                <w:ilvl w:val="0"/>
                <w:numId w:val="32"/>
              </w:numPr>
              <w:tabs>
                <w:tab w:val="left" w:pos="486"/>
              </w:tabs>
              <w:spacing w:after="120"/>
            </w:pPr>
            <w:r w:rsidRPr="000F22AD">
              <w:t>ΓΚΑΚ, άρθρο 41</w:t>
            </w:r>
          </w:p>
        </w:tc>
        <w:tc>
          <w:tcPr>
            <w:tcW w:w="112" w:type="dxa"/>
            <w:tcBorders>
              <w:top w:val="nil"/>
              <w:bottom w:val="nil"/>
              <w:right w:val="nil"/>
            </w:tcBorders>
            <w:shd w:val="clear" w:color="auto" w:fill="D9D9D9"/>
          </w:tcPr>
          <w:p w14:paraId="204BA9AD" w14:textId="77777777" w:rsidR="007B1A84" w:rsidRDefault="007B1A84" w:rsidP="003E0C33">
            <w:pPr>
              <w:pStyle w:val="TableParagraph"/>
              <w:spacing w:after="120"/>
              <w:rPr>
                <w:rFonts w:ascii="Times New Roman"/>
                <w:sz w:val="16"/>
              </w:rPr>
            </w:pPr>
          </w:p>
        </w:tc>
      </w:tr>
      <w:tr w:rsidR="007B1A84" w14:paraId="582061C1" w14:textId="77777777" w:rsidTr="009866DC">
        <w:trPr>
          <w:trHeight w:val="259"/>
        </w:trPr>
        <w:tc>
          <w:tcPr>
            <w:tcW w:w="2836" w:type="dxa"/>
            <w:vMerge/>
            <w:tcBorders>
              <w:top w:val="nil"/>
            </w:tcBorders>
          </w:tcPr>
          <w:p w14:paraId="0618E445" w14:textId="77777777" w:rsidR="007B1A84" w:rsidRDefault="007B1A84" w:rsidP="003E0C33">
            <w:pPr>
              <w:spacing w:after="120"/>
              <w:rPr>
                <w:sz w:val="2"/>
              </w:rPr>
            </w:pPr>
          </w:p>
        </w:tc>
        <w:tc>
          <w:tcPr>
            <w:tcW w:w="2980" w:type="dxa"/>
          </w:tcPr>
          <w:p w14:paraId="25ACF738" w14:textId="77777777" w:rsidR="007B1A84" w:rsidRDefault="002A0261" w:rsidP="003E0C33">
            <w:pPr>
              <w:pStyle w:val="P68B1DB1-TableParagraph15"/>
              <w:spacing w:after="120"/>
              <w:ind w:left="118"/>
            </w:pPr>
            <w:r>
              <w:t>Κρατικές</w:t>
            </w:r>
            <w:r>
              <w:t xml:space="preserve"> </w:t>
            </w:r>
            <w:r>
              <w:t>επενδυτικές</w:t>
            </w:r>
            <w:r>
              <w:t xml:space="preserve"> </w:t>
            </w:r>
            <w:r>
              <w:t>ενισχύσεις</w:t>
            </w:r>
            <w:r>
              <w:t xml:space="preserve"> </w:t>
            </w:r>
            <w:r>
              <w:t>για</w:t>
            </w:r>
            <w:r>
              <w:t xml:space="preserve"> </w:t>
            </w:r>
            <w:r>
              <w:t>τοπικές</w:t>
            </w:r>
            <w:r>
              <w:t xml:space="preserve"> </w:t>
            </w:r>
            <w:r>
              <w:t>υποδομές</w:t>
            </w:r>
          </w:p>
          <w:p w14:paraId="7794E94B" w14:textId="77777777" w:rsidR="007B1A84" w:rsidRDefault="002A0261" w:rsidP="003E0C33">
            <w:pPr>
              <w:pStyle w:val="P68B1DB1-TableParagraph13"/>
              <w:numPr>
                <w:ilvl w:val="0"/>
                <w:numId w:val="31"/>
              </w:numPr>
              <w:tabs>
                <w:tab w:val="left" w:pos="486"/>
              </w:tabs>
              <w:spacing w:after="120"/>
              <w:ind w:hanging="368"/>
            </w:pPr>
            <w:r>
              <w:t>ΓΚΑΚ, άρθρο 56</w:t>
            </w:r>
          </w:p>
        </w:tc>
        <w:tc>
          <w:tcPr>
            <w:tcW w:w="3236" w:type="dxa"/>
            <w:shd w:val="clear" w:color="auto" w:fill="D9D9D9"/>
          </w:tcPr>
          <w:p w14:paraId="26C6ED2A" w14:textId="77777777" w:rsidR="007B1A84" w:rsidRPr="000F22AD" w:rsidRDefault="002A0261" w:rsidP="000F22AD">
            <w:pPr>
              <w:pStyle w:val="P68B1DB1-TableParagraph15"/>
              <w:ind w:left="117" w:right="82"/>
              <w:rPr>
                <w:b w:val="0"/>
              </w:rPr>
            </w:pPr>
            <w:r w:rsidRPr="000F22AD">
              <w:rPr>
                <w:b w:val="0"/>
              </w:rPr>
              <w:t>Κρατικές</w:t>
            </w:r>
            <w:r w:rsidRPr="000F22AD">
              <w:rPr>
                <w:b w:val="0"/>
              </w:rPr>
              <w:t xml:space="preserve"> </w:t>
            </w:r>
            <w:r w:rsidRPr="000F22AD">
              <w:rPr>
                <w:b w:val="0"/>
              </w:rPr>
              <w:t>ενισχύσεις</w:t>
            </w:r>
            <w:r w:rsidRPr="000F22AD">
              <w:rPr>
                <w:b w:val="0"/>
              </w:rPr>
              <w:t xml:space="preserve"> </w:t>
            </w:r>
            <w:r w:rsidRPr="000F22AD">
              <w:rPr>
                <w:b w:val="0"/>
              </w:rPr>
              <w:t>για</w:t>
            </w:r>
            <w:r w:rsidRPr="000F22AD">
              <w:rPr>
                <w:b w:val="0"/>
              </w:rPr>
              <w:t xml:space="preserve"> </w:t>
            </w:r>
            <w:r w:rsidRPr="000F22AD">
              <w:rPr>
                <w:b w:val="0"/>
              </w:rPr>
              <w:t>ενεργειακά</w:t>
            </w:r>
            <w:r w:rsidRPr="000F22AD">
              <w:rPr>
                <w:b w:val="0"/>
              </w:rPr>
              <w:t xml:space="preserve"> </w:t>
            </w:r>
            <w:r w:rsidRPr="000F22AD">
              <w:rPr>
                <w:b w:val="0"/>
              </w:rPr>
              <w:t>αποδοτική</w:t>
            </w:r>
            <w:r w:rsidRPr="000F22AD">
              <w:rPr>
                <w:b w:val="0"/>
              </w:rPr>
              <w:t xml:space="preserve"> </w:t>
            </w:r>
            <w:r w:rsidRPr="000F22AD">
              <w:rPr>
                <w:b w:val="0"/>
              </w:rPr>
              <w:t>τηλεθέρμανση</w:t>
            </w:r>
            <w:r w:rsidRPr="000F22AD">
              <w:rPr>
                <w:b w:val="0"/>
              </w:rPr>
              <w:t xml:space="preserve"> </w:t>
            </w:r>
            <w:r w:rsidRPr="000F22AD">
              <w:rPr>
                <w:b w:val="0"/>
              </w:rPr>
              <w:t>και</w:t>
            </w:r>
            <w:r w:rsidRPr="000F22AD">
              <w:rPr>
                <w:b w:val="0"/>
              </w:rPr>
              <w:t>/</w:t>
            </w:r>
            <w:r w:rsidRPr="000F22AD">
              <w:rPr>
                <w:b w:val="0"/>
              </w:rPr>
              <w:t>ή</w:t>
            </w:r>
            <w:r w:rsidRPr="000F22AD">
              <w:rPr>
                <w:b w:val="0"/>
              </w:rPr>
              <w:t xml:space="preserve"> </w:t>
            </w:r>
            <w:r w:rsidRPr="000F22AD">
              <w:rPr>
                <w:b w:val="0"/>
              </w:rPr>
              <w:t>τηλεψύξη</w:t>
            </w:r>
          </w:p>
          <w:p w14:paraId="3885351B" w14:textId="77777777" w:rsidR="007B1A84" w:rsidRPr="000F22AD" w:rsidRDefault="002A0261" w:rsidP="000F22AD">
            <w:pPr>
              <w:pStyle w:val="P68B1DB1-TableParagraph13"/>
              <w:numPr>
                <w:ilvl w:val="0"/>
                <w:numId w:val="30"/>
              </w:numPr>
              <w:tabs>
                <w:tab w:val="left" w:pos="486"/>
              </w:tabs>
            </w:pPr>
            <w:r w:rsidRPr="000F22AD">
              <w:t>ΚΓΕΚΕΠ, τμήμα 4.10</w:t>
            </w:r>
          </w:p>
          <w:p w14:paraId="69532645" w14:textId="77777777" w:rsidR="007B1A84" w:rsidRPr="000F22AD" w:rsidRDefault="002A0261" w:rsidP="003E0C33">
            <w:pPr>
              <w:pStyle w:val="P68B1DB1-TableParagraph13"/>
              <w:numPr>
                <w:ilvl w:val="0"/>
                <w:numId w:val="30"/>
              </w:numPr>
              <w:tabs>
                <w:tab w:val="left" w:pos="486"/>
              </w:tabs>
              <w:spacing w:after="120"/>
            </w:pPr>
            <w:r w:rsidRPr="000F22AD">
              <w:t>ΓΚΑΚ, άρθρο 46</w:t>
            </w:r>
          </w:p>
        </w:tc>
        <w:tc>
          <w:tcPr>
            <w:tcW w:w="112" w:type="dxa"/>
            <w:tcBorders>
              <w:top w:val="nil"/>
              <w:bottom w:val="nil"/>
              <w:right w:val="nil"/>
            </w:tcBorders>
            <w:shd w:val="clear" w:color="auto" w:fill="D9D9D9"/>
          </w:tcPr>
          <w:p w14:paraId="35F020A0" w14:textId="77777777" w:rsidR="007B1A84" w:rsidRDefault="007B1A84" w:rsidP="003E0C33">
            <w:pPr>
              <w:pStyle w:val="TableParagraph"/>
              <w:spacing w:after="120"/>
              <w:rPr>
                <w:rFonts w:ascii="Times New Roman"/>
                <w:sz w:val="16"/>
              </w:rPr>
            </w:pPr>
          </w:p>
        </w:tc>
      </w:tr>
    </w:tbl>
    <w:p w14:paraId="57473C8A" w14:textId="77777777" w:rsidR="007B1A84" w:rsidRDefault="007B1A84" w:rsidP="003E0C33">
      <w:pPr>
        <w:spacing w:after="120"/>
        <w:rPr>
          <w:sz w:val="17"/>
        </w:rPr>
        <w:sectPr w:rsidR="007B1A84">
          <w:pgSz w:w="11910" w:h="16840"/>
          <w:pgMar w:top="1920" w:right="992" w:bottom="1340" w:left="1417" w:header="0" w:footer="1157" w:gutter="0"/>
          <w:cols w:space="720"/>
        </w:sectPr>
      </w:pPr>
    </w:p>
    <w:p w14:paraId="62EA6E58" w14:textId="77777777" w:rsidR="007B1A84" w:rsidRDefault="002A0261" w:rsidP="003E0C33">
      <w:pPr>
        <w:pStyle w:val="P68B1DB1-a58"/>
        <w:numPr>
          <w:ilvl w:val="0"/>
          <w:numId w:val="37"/>
        </w:numPr>
        <w:tabs>
          <w:tab w:val="left" w:pos="391"/>
          <w:tab w:val="left" w:pos="393"/>
        </w:tabs>
        <w:spacing w:after="120"/>
        <w:ind w:right="451"/>
      </w:pPr>
      <w:r>
        <w:lastRenderedPageBreak/>
        <w:t>Είναι σημαντικό να τονιστεί ότι πολλοί οριζόντιοι στόχοι κρατικών ενισχύσεων δεν μπορούν να εφαρμοστούν σε επενδύσεις που προορίζονται για την παραγωγή ενέργειας. Στον πίνακα 1 παρουσιάζεται αυτός ο διαχωρισμός.</w:t>
      </w:r>
    </w:p>
    <w:p w14:paraId="56981B9B" w14:textId="4AC97B16" w:rsidR="007B1A84" w:rsidRDefault="002A0261" w:rsidP="003E0C33">
      <w:pPr>
        <w:pStyle w:val="P68B1DB1-a58"/>
        <w:numPr>
          <w:ilvl w:val="0"/>
          <w:numId w:val="37"/>
        </w:numPr>
        <w:tabs>
          <w:tab w:val="left" w:pos="391"/>
          <w:tab w:val="left" w:pos="393"/>
        </w:tabs>
        <w:spacing w:after="120"/>
        <w:ind w:right="406"/>
      </w:pPr>
      <w:r>
        <w:t xml:space="preserve">Σύμφωνα με την πρακτική της αγοράς στον τομέα της διαχείρισης αποβλήτων, είναι πιθανό σε διαφορετικά στάδια επεξεργασίας αποβλήτων να </w:t>
      </w:r>
      <w:r w:rsidR="000F5385">
        <w:rPr>
          <w:lang w:val="el-GR"/>
        </w:rPr>
        <w:t>ανακτώνται</w:t>
      </w:r>
      <w:r>
        <w:t xml:space="preserve">/επεξεργάζονται διαφορετικές ενεργειακές εκροές, για παράδειγμα, τα αέρια υγειονομικής ταφής να λαμβάνονται από την υγειονομική ταφή βιολογικών αποβλήτων ή από ειδικές κυψέλες αποβλήτων υγειονομικής ταφής, στη συνέχεια το αέριο καίγεται σε μονάδα παραγωγής ηλεκτρικής ενέργειας για την παραγωγή ηλεκτρικής ενέργειας και θερμότητας, η θερμική ενέργεια μπορεί επίσης να παράγεται μόνο από την καύση του </w:t>
      </w:r>
      <w:r w:rsidR="004539DD">
        <w:rPr>
          <w:lang w:val="el-GR"/>
        </w:rPr>
        <w:t xml:space="preserve">βιοαερίου του </w:t>
      </w:r>
      <w:r>
        <w:t>χώρου υγειονομικής ταφής</w:t>
      </w:r>
      <w:r w:rsidR="004539DD">
        <w:rPr>
          <w:rStyle w:val="FootnoteReference"/>
        </w:rPr>
        <w:footnoteReference w:id="9"/>
      </w:r>
      <w:r>
        <w:t>. Κατά συνέπεια, πριν από τον σχεδιασμό τυχόν επενδύσεων που συνδέονται με τις διαδικασίες επεξεργασίας αποβλήτων, είναι σημαντικό να καθοριστεί ορθά ποιες διαδικασίες θα εκτελεστούν και ποιες εκροές θα παραχθούν σε μια ενιαία εγκατάσταση.</w:t>
      </w:r>
    </w:p>
    <w:p w14:paraId="2467E9E5" w14:textId="153A5836" w:rsidR="007B1A84" w:rsidRDefault="002A0261" w:rsidP="003E0C33">
      <w:pPr>
        <w:pStyle w:val="P68B1DB1-a58"/>
        <w:numPr>
          <w:ilvl w:val="0"/>
          <w:numId w:val="37"/>
        </w:numPr>
        <w:tabs>
          <w:tab w:val="left" w:pos="391"/>
          <w:tab w:val="left" w:pos="393"/>
        </w:tabs>
        <w:spacing w:after="120"/>
        <w:ind w:right="412"/>
      </w:pPr>
      <w:r>
        <w:t xml:space="preserve">Είναι επίσης αναγκαίο να αξιολογηθεί κατά πόσον οι επενδύσεις που σχετίζονται με τις διαδικασίες επεξεργασίας αποβλήτων (επεξεργασία μικτών αστικών αποβλήτων, επεξεργασία χωριστά συλλεγόμενων αστικών αποβλήτων, επεξεργασία </w:t>
      </w:r>
      <w:r w:rsidR="001077EF">
        <w:rPr>
          <w:lang w:val="el-GR"/>
        </w:rPr>
        <w:t>αποβλήτων</w:t>
      </w:r>
      <w:r>
        <w:t xml:space="preserve"> συσκευασίας, επεξεργασία βιολογικών αποβλήτων) και την παραγωγή διαφορετικών </w:t>
      </w:r>
      <w:r w:rsidR="001077EF">
        <w:rPr>
          <w:lang w:val="el-GR"/>
        </w:rPr>
        <w:t>προϊόντων</w:t>
      </w:r>
      <w:r>
        <w:t xml:space="preserve"> μπορούν να διαχωριστούν φυσικά ή εάν η ίδια υποδομή/εξοπλισμός πρόκειται να χρησιμοποιηθεί για διαφορετικές διαδικασίες που συνδέονται με την επεξεργασία των αποβλήτων.</w:t>
      </w:r>
    </w:p>
    <w:p w14:paraId="4184AED6" w14:textId="77777777" w:rsidR="007B1A84" w:rsidRDefault="002A0261" w:rsidP="003E0C33">
      <w:pPr>
        <w:pStyle w:val="P68B1DB1-a58"/>
        <w:numPr>
          <w:ilvl w:val="0"/>
          <w:numId w:val="37"/>
        </w:numPr>
        <w:tabs>
          <w:tab w:val="left" w:pos="391"/>
          <w:tab w:val="left" w:pos="393"/>
        </w:tabs>
        <w:spacing w:after="120"/>
        <w:ind w:right="409"/>
      </w:pPr>
      <w:r>
        <w:t>Εάν η χρήση της υποδομής/εξοπλισμού είναι εύκολα διαχωρίσιμη στο πλαίσιο διαφορετικών διαδικασιών επεξεργασίας αποβλήτων, καθώς και η παραγωγή τελικών εκροών είναι διαχωρίσιμη, όπως η παραγωγή ενέργειας, οι επιλέξιμες δαπάνες μπορούν να διαιρεθούν ώστε κάθε επιμέρους στοιχείο κόστους να κατανεμηθεί σε συγκεκριμένο στόχο κρατικής ενίσχυσης που προβλέπεται στον πίνακα 1.</w:t>
      </w:r>
    </w:p>
    <w:p w14:paraId="1A342DDF" w14:textId="502302C8" w:rsidR="007B1A84" w:rsidRDefault="002A0261" w:rsidP="003E0C33">
      <w:pPr>
        <w:pStyle w:val="P68B1DB1-a58"/>
        <w:numPr>
          <w:ilvl w:val="0"/>
          <w:numId w:val="37"/>
        </w:numPr>
        <w:tabs>
          <w:tab w:val="left" w:pos="391"/>
          <w:tab w:val="left" w:pos="393"/>
        </w:tabs>
        <w:spacing w:after="120"/>
        <w:ind w:right="409"/>
      </w:pPr>
      <w:r>
        <w:t xml:space="preserve">Κατά κανόνα, οι επενδύσεις που συνδέονται κυρίως με την παραγωγή ενέργειας είναι εύκολα διαχωρίσιμες. Για παράδειγμα, τα αέρια που </w:t>
      </w:r>
      <w:r w:rsidR="001077EF">
        <w:rPr>
          <w:lang w:val="el-GR"/>
        </w:rPr>
        <w:t>εκλύονται</w:t>
      </w:r>
      <w:r>
        <w:t xml:space="preserve"> από </w:t>
      </w:r>
      <w:r w:rsidR="001077EF">
        <w:rPr>
          <w:lang w:val="el-GR"/>
        </w:rPr>
        <w:t xml:space="preserve">υγειονομική ταφή αποβλήτων </w:t>
      </w:r>
      <w:r>
        <w:t>δεν μπορούν να χρησιμοποιηθούν άμεσα ως ενεργειακό προϊόν. Απαιτείται πρόσθετη επεξεργασία των αερίων υγειονομικής ταφής για τα οποία απαιτείται πρόσθετη υποδομή. Οι επιλέξιμες δαπάνες που συνδέονται με την παραγωγή ενέργειας μετά την επεξεργασία αποβλήτων καθορίζονται ως πρόσθετες επενδυτικές δαπάνες σύμφωνα με το νομικό πλαίσιο για τους στόχους κρατικών ενισχύσεων που καθορίζονται στη στήλη [3] του πίνακα 1.</w:t>
      </w:r>
    </w:p>
    <w:p w14:paraId="5ED08D97" w14:textId="77777777" w:rsidR="007B1A84" w:rsidRDefault="002A0261" w:rsidP="003E0C33">
      <w:pPr>
        <w:pStyle w:val="P68B1DB1-a58"/>
        <w:numPr>
          <w:ilvl w:val="0"/>
          <w:numId w:val="37"/>
        </w:numPr>
        <w:tabs>
          <w:tab w:val="left" w:pos="391"/>
          <w:tab w:val="left" w:pos="393"/>
        </w:tabs>
        <w:spacing w:after="120"/>
        <w:ind w:right="412"/>
      </w:pPr>
      <w:r>
        <w:t>Η εφαρμογή των διαφόρων στόχων για τις κρατικές ενισχύσεις που απαριθμούνται στις στήλες [1] και [2] του πίνακα 1 εξετάζεται στο παρόν σημείωμα.</w:t>
      </w:r>
    </w:p>
    <w:p w14:paraId="01D4C1EF" w14:textId="77777777" w:rsidR="007B1A84" w:rsidRDefault="002A0261" w:rsidP="003E0C33">
      <w:pPr>
        <w:pStyle w:val="P68B1DB1-a58"/>
        <w:numPr>
          <w:ilvl w:val="0"/>
          <w:numId w:val="37"/>
        </w:numPr>
        <w:tabs>
          <w:tab w:val="left" w:pos="391"/>
          <w:tab w:val="left" w:pos="393"/>
        </w:tabs>
        <w:spacing w:after="120"/>
        <w:ind w:right="433"/>
      </w:pPr>
      <w:r>
        <w:t>Οι στόχοι για τις κρατικές ενισχύσεις που παρατίθενται στις στήλες [1] και [2] του πίνακα 1 μπορούν να εφαρμοστούν μεμονωμένα ή σε συνδυασμό [όπως περιγράφεται λεπτομερώς στο παρόν σημείωμα].</w:t>
      </w:r>
    </w:p>
    <w:p w14:paraId="3290A4DC" w14:textId="77777777" w:rsidR="007B1A84" w:rsidRDefault="007B1A84" w:rsidP="003E0C33">
      <w:pPr>
        <w:pStyle w:val="BodyText"/>
        <w:spacing w:after="120"/>
      </w:pPr>
    </w:p>
    <w:p w14:paraId="72116B9A" w14:textId="77777777" w:rsidR="007B1A84" w:rsidRDefault="002A0261" w:rsidP="003E0C33">
      <w:pPr>
        <w:pStyle w:val="Heading2"/>
        <w:numPr>
          <w:ilvl w:val="0"/>
          <w:numId w:val="40"/>
        </w:numPr>
        <w:tabs>
          <w:tab w:val="left" w:pos="392"/>
        </w:tabs>
        <w:spacing w:after="120"/>
        <w:ind w:left="392" w:hanging="367"/>
        <w:rPr>
          <w:color w:val="F16421"/>
        </w:rPr>
      </w:pPr>
      <w:bookmarkStart w:id="9" w:name="_bookmark14"/>
      <w:bookmarkEnd w:id="9"/>
      <w:r>
        <w:t>Σενάρια κρατικών ενισχύσεων.</w:t>
      </w:r>
    </w:p>
    <w:p w14:paraId="2159F16D" w14:textId="77777777" w:rsidR="007B1A84" w:rsidRDefault="002A0261" w:rsidP="003E0C33">
      <w:pPr>
        <w:pStyle w:val="P68B1DB1-a58"/>
        <w:numPr>
          <w:ilvl w:val="0"/>
          <w:numId w:val="37"/>
        </w:numPr>
        <w:tabs>
          <w:tab w:val="left" w:pos="393"/>
          <w:tab w:val="left" w:pos="438"/>
        </w:tabs>
        <w:spacing w:after="120"/>
        <w:ind w:right="409"/>
      </w:pPr>
      <w:r>
        <w:t>Το παρόν τμήμα παρουσιάζει συνοπτικά τις βασικές απαιτήσεις που ισχύουν για τα έργα διαχείρισης αποβλήτων στο πλαίσιο των ακόλουθων στόχων κρατικών ενισχύσεων:</w:t>
      </w:r>
    </w:p>
    <w:p w14:paraId="128FAD74" w14:textId="77777777" w:rsidR="007B1A84" w:rsidRDefault="002A0261" w:rsidP="003E0C33">
      <w:pPr>
        <w:pStyle w:val="P68B1DB1-a58"/>
        <w:numPr>
          <w:ilvl w:val="1"/>
          <w:numId w:val="37"/>
        </w:numPr>
        <w:tabs>
          <w:tab w:val="left" w:pos="1114"/>
        </w:tabs>
        <w:spacing w:after="120"/>
        <w:ind w:left="1114" w:right="434" w:hanging="369"/>
      </w:pPr>
      <w:r>
        <w:t>Κρατικές ενισχύσεις ως αντιστάθμιση για ΥΓΟΣ (απόφαση ΥΓΟΣ, πλαίσιο ΥΓΟΣ, απόφαση Altmark),</w:t>
      </w:r>
    </w:p>
    <w:p w14:paraId="2CFE003A" w14:textId="77777777" w:rsidR="007B1A84" w:rsidRDefault="002A0261" w:rsidP="003E0C33">
      <w:pPr>
        <w:pStyle w:val="P68B1DB1-a58"/>
        <w:numPr>
          <w:ilvl w:val="1"/>
          <w:numId w:val="37"/>
        </w:numPr>
        <w:tabs>
          <w:tab w:val="left" w:pos="1114"/>
        </w:tabs>
        <w:spacing w:after="120"/>
        <w:ind w:left="1114" w:hanging="368"/>
      </w:pPr>
      <w:r>
        <w:t>Κρατικές ενισχύσεις για περιφερειακές επενδύσεις (ΚΓΔ/ΓΚΑΚ, άρθρο 14)</w:t>
      </w:r>
    </w:p>
    <w:p w14:paraId="275B76AE" w14:textId="77777777" w:rsidR="007B1A84" w:rsidRDefault="002A0261" w:rsidP="003E0C33">
      <w:pPr>
        <w:pStyle w:val="P68B1DB1-a58"/>
        <w:numPr>
          <w:ilvl w:val="1"/>
          <w:numId w:val="37"/>
        </w:numPr>
        <w:tabs>
          <w:tab w:val="left" w:pos="1114"/>
        </w:tabs>
        <w:spacing w:after="120"/>
        <w:ind w:left="1114" w:right="431" w:hanging="369"/>
      </w:pPr>
      <w:r>
        <w:t>Κρατικές ενισχύσεις για τη χωριστή συλλογή και διαλογή αποβλήτων, την επαναχρησιμοποίηση και ανακύκλωση αποβλήτων και άλλες δραστηριότητες επεξεργασίας αποβλήτων (ΚΓΚΕΠΕ, τμήμα 4.4/ΓΚΑΚ, άρθρο 47)</w:t>
      </w:r>
    </w:p>
    <w:p w14:paraId="7AE4C13B" w14:textId="77777777" w:rsidR="007B1A84" w:rsidRDefault="002A0261" w:rsidP="003E0C33">
      <w:pPr>
        <w:pStyle w:val="P68B1DB1-a58"/>
        <w:numPr>
          <w:ilvl w:val="1"/>
          <w:numId w:val="37"/>
        </w:numPr>
        <w:tabs>
          <w:tab w:val="left" w:pos="1114"/>
        </w:tabs>
        <w:spacing w:after="120"/>
        <w:ind w:left="1114" w:hanging="368"/>
      </w:pPr>
      <w:r>
        <w:t>Κρατικές ενισχύσεις για τοπικές υποδομές (ΓΚΑΚ, άρθρο 56).</w:t>
      </w:r>
    </w:p>
    <w:p w14:paraId="34D5F456" w14:textId="77777777" w:rsidR="007B1A84" w:rsidRPr="001C2400" w:rsidRDefault="002A0261" w:rsidP="003E0C33">
      <w:pPr>
        <w:pStyle w:val="P68B1DB1-a58"/>
        <w:numPr>
          <w:ilvl w:val="0"/>
          <w:numId w:val="37"/>
        </w:numPr>
        <w:tabs>
          <w:tab w:val="left" w:pos="391"/>
          <w:tab w:val="left" w:pos="393"/>
        </w:tabs>
        <w:spacing w:after="120"/>
        <w:ind w:right="408"/>
      </w:pPr>
      <w:r>
        <w:lastRenderedPageBreak/>
        <w:t>Κάθε στόχος κρατικής ενίσχυσης έχει τους περιορισμούς του όσον αφορά τη δυνατότητα εφαρμογής. Ως εκ τούτου, τα κράτη μέλη πρέπει να εξετάζουν προσεκτικά τον καταλληλότερο στόχο κρατικών ενισχύσεων ή τον συνδυασμό των στόχων κρατικών ενισχύσεων για την αντιμετώπιση της ανάγκης στήριξης της θέσπισης ΜΑΑ.</w:t>
      </w:r>
    </w:p>
    <w:p w14:paraId="32BB9C9F" w14:textId="77777777" w:rsidR="001C2400" w:rsidRPr="001C2400" w:rsidRDefault="001C2400" w:rsidP="001C2400">
      <w:pPr>
        <w:pStyle w:val="P68B1DB1-a58"/>
        <w:tabs>
          <w:tab w:val="left" w:pos="391"/>
          <w:tab w:val="left" w:pos="393"/>
        </w:tabs>
        <w:spacing w:after="120"/>
        <w:ind w:right="408"/>
      </w:pPr>
    </w:p>
    <w:p w14:paraId="7154782F" w14:textId="0E603015" w:rsidR="007B1A84" w:rsidRDefault="00916991" w:rsidP="003E0C33">
      <w:pPr>
        <w:pStyle w:val="Heading4"/>
        <w:numPr>
          <w:ilvl w:val="1"/>
          <w:numId w:val="40"/>
        </w:numPr>
        <w:tabs>
          <w:tab w:val="left" w:pos="601"/>
        </w:tabs>
        <w:spacing w:after="120"/>
        <w:ind w:right="426"/>
      </w:pPr>
      <w:bookmarkStart w:id="10" w:name="_bookmark16"/>
      <w:bookmarkEnd w:id="10"/>
      <w:r>
        <w:rPr>
          <w:lang w:val="el-GR"/>
        </w:rPr>
        <w:t>Θέματα</w:t>
      </w:r>
      <w:r w:rsidR="002A0261">
        <w:t xml:space="preserve"> που συνδέονται με την εφαρμογή των ΥΓΟΣ (απόφαση ΥΓΟΣ, πλαίσιο ΥΓΟΣ και απόφαση Altmark)</w:t>
      </w:r>
    </w:p>
    <w:p w14:paraId="4698FE68" w14:textId="77777777" w:rsidR="007B1A84" w:rsidRDefault="002A0261" w:rsidP="003E0C33">
      <w:pPr>
        <w:pStyle w:val="Heading5"/>
        <w:numPr>
          <w:ilvl w:val="2"/>
          <w:numId w:val="40"/>
        </w:numPr>
        <w:tabs>
          <w:tab w:val="left" w:pos="745"/>
        </w:tabs>
        <w:spacing w:after="120"/>
        <w:ind w:left="745" w:hanging="720"/>
      </w:pPr>
      <w:bookmarkStart w:id="11" w:name="_bookmark17"/>
      <w:bookmarkEnd w:id="11"/>
      <w:r>
        <w:t>Ορισμός μιας ΥΓΟΣ</w:t>
      </w:r>
    </w:p>
    <w:p w14:paraId="7664AA74" w14:textId="77777777" w:rsidR="007B1A84" w:rsidRDefault="002A0261" w:rsidP="003E0C33">
      <w:pPr>
        <w:pStyle w:val="P68B1DB1-a58"/>
        <w:numPr>
          <w:ilvl w:val="0"/>
          <w:numId w:val="37"/>
        </w:numPr>
        <w:tabs>
          <w:tab w:val="left" w:pos="391"/>
          <w:tab w:val="left" w:pos="393"/>
        </w:tabs>
        <w:spacing w:after="120"/>
        <w:ind w:right="412"/>
      </w:pPr>
      <w:r>
        <w:t>Δεν υπάρχουν ειδικοί κανόνες της ΕΕ που να καθορίζουν το πεδίο ύπαρξης ΥΓΟΣ για τον τομέα της διαχείρισης αποβλήτων, παρέχουν στα κράτη μέλη διακριτική ευχέρεια όσον αφορά τον ορισμό μιας συγκεκριμένης υπηρεσίας ως ΥΓΟΣ και τη χορήγηση αποζημίωσης στον πάροχο υπηρεσιών. Ωστόσο, τα κράτη μέλη θα πρέπει να τηρούν τις αποφάσεις του Ευρωπαϊκού Δικαστηρίου που καθορίζουν την έννοια του «ειδικού καθήκοντος» (ΥΓΟΣ) δεν μπορούν να αποδοθούν σε δραστηριότητα που παρέχεται ήδη ή μπορεί να παρασχεθεί ικανοποιητικά υπό κανονικές συνθήκες της αγοράς, λαμβανομένων υπόψη των δημόσιων συμφερόντων και των συνθηκών που καθορίζονται από το κράτος, όπως η τιμή, τα αντικειμενικά ποιοτικά χαρακτηριστικά, η συνέχεια και η πρόσβαση στην υπηρεσία.</w:t>
      </w:r>
    </w:p>
    <w:p w14:paraId="0EEC19B5" w14:textId="5A3899BF" w:rsidR="007B1A84" w:rsidRDefault="002A0261" w:rsidP="003E0C33">
      <w:pPr>
        <w:pStyle w:val="P68B1DB1-a58"/>
        <w:numPr>
          <w:ilvl w:val="0"/>
          <w:numId w:val="37"/>
        </w:numPr>
        <w:tabs>
          <w:tab w:val="left" w:pos="391"/>
          <w:tab w:val="left" w:pos="393"/>
        </w:tabs>
        <w:spacing w:after="120"/>
        <w:ind w:right="418"/>
      </w:pPr>
      <w:r>
        <w:t>Η εφαρμογή της κρατικής ενίσχυσης για την αντιστάθμιση ΥΓΟΣ αρχίζει με τη θέσπιση νομικού ορισμού της ΥΓΟΣ. Στον τομέα της διαχείρισης αποβλήτων, η ΕΕ έχει θέσει φιλόδοξους στόχους για τη βελτίωση της διαχείρισης των αστικών αποβλήτων. Τα κράτη μέλη πρέπει να θεσπίσουν αποτελεσματικές στρατηγικές και μέσα πολιτικής για την επίτευξη αυτών των</w:t>
      </w:r>
      <w:r w:rsidR="00D4056A">
        <w:rPr>
          <w:lang w:val="el-GR"/>
        </w:rPr>
        <w:t xml:space="preserve"> </w:t>
      </w:r>
      <w:hyperlink w:anchor="_bookmark18" w:history="1">
        <w:r>
          <w:t>στόχων</w:t>
        </w:r>
      </w:hyperlink>
      <w:hyperlink w:anchor="_bookmark19" w:history="1">
        <w:r>
          <w:t>.</w:t>
        </w:r>
        <w:r w:rsidR="00D4056A">
          <w:rPr>
            <w:rStyle w:val="FootnoteReference"/>
          </w:rPr>
          <w:footnoteReference w:id="10"/>
        </w:r>
      </w:hyperlink>
      <w:r>
        <w:t xml:space="preserve"> </w:t>
      </w:r>
      <w:r w:rsidR="00D4056A">
        <w:rPr>
          <w:rStyle w:val="FootnoteReference"/>
        </w:rPr>
        <w:footnoteReference w:id="11"/>
      </w:r>
    </w:p>
    <w:p w14:paraId="12A2E815" w14:textId="6B390DEF" w:rsidR="007B1A84" w:rsidRDefault="002A0261" w:rsidP="003E0C33">
      <w:pPr>
        <w:pStyle w:val="Heading7"/>
        <w:numPr>
          <w:ilvl w:val="0"/>
          <w:numId w:val="37"/>
        </w:numPr>
        <w:tabs>
          <w:tab w:val="left" w:pos="391"/>
          <w:tab w:val="left" w:pos="393"/>
        </w:tabs>
        <w:spacing w:after="120"/>
        <w:ind w:right="413"/>
        <w:jc w:val="both"/>
        <w:rPr>
          <w:i w:val="0"/>
        </w:rPr>
      </w:pPr>
      <w:r>
        <w:rPr>
          <w:rFonts w:ascii="Arial MT"/>
          <w:b w:val="0"/>
          <w:i w:val="0"/>
        </w:rPr>
        <w:t>Με</w:t>
      </w:r>
      <w:r>
        <w:rPr>
          <w:rFonts w:ascii="Arial MT"/>
          <w:b w:val="0"/>
          <w:i w:val="0"/>
        </w:rPr>
        <w:t xml:space="preserve"> </w:t>
      </w:r>
      <w:r>
        <w:rPr>
          <w:rFonts w:ascii="Arial MT"/>
          <w:b w:val="0"/>
          <w:i w:val="0"/>
        </w:rPr>
        <w:t>βάση</w:t>
      </w:r>
      <w:r>
        <w:rPr>
          <w:rFonts w:ascii="Arial MT"/>
          <w:b w:val="0"/>
          <w:i w:val="0"/>
        </w:rPr>
        <w:t xml:space="preserve"> </w:t>
      </w:r>
      <w:r>
        <w:rPr>
          <w:rFonts w:ascii="Arial MT"/>
          <w:b w:val="0"/>
          <w:i w:val="0"/>
        </w:rPr>
        <w:t>την</w:t>
      </w:r>
      <w:r>
        <w:rPr>
          <w:rFonts w:ascii="Arial MT"/>
          <w:b w:val="0"/>
          <w:i w:val="0"/>
        </w:rPr>
        <w:t xml:space="preserve"> </w:t>
      </w:r>
      <w:r>
        <w:rPr>
          <w:rFonts w:ascii="Arial MT"/>
          <w:b w:val="0"/>
          <w:i w:val="0"/>
        </w:rPr>
        <w:t>πρακτική</w:t>
      </w:r>
      <w:r>
        <w:rPr>
          <w:rFonts w:ascii="Arial MT"/>
          <w:b w:val="0"/>
          <w:i w:val="0"/>
        </w:rPr>
        <w:t xml:space="preserve"> </w:t>
      </w:r>
      <w:r>
        <w:rPr>
          <w:rFonts w:ascii="Arial MT"/>
          <w:b w:val="0"/>
          <w:i w:val="0"/>
        </w:rPr>
        <w:t>της</w:t>
      </w:r>
      <w:r>
        <w:rPr>
          <w:rFonts w:ascii="Arial MT"/>
          <w:b w:val="0"/>
          <w:i w:val="0"/>
        </w:rPr>
        <w:t xml:space="preserve"> </w:t>
      </w:r>
      <w:r>
        <w:rPr>
          <w:rFonts w:ascii="Arial MT"/>
          <w:b w:val="0"/>
          <w:i w:val="0"/>
        </w:rPr>
        <w:t>Ε</w:t>
      </w:r>
      <w:r w:rsidR="00D4056A">
        <w:rPr>
          <w:rFonts w:ascii="Arial MT"/>
          <w:b w:val="0"/>
          <w:i w:val="0"/>
          <w:lang w:val="el-GR"/>
        </w:rPr>
        <w:t>Ε</w:t>
      </w:r>
      <w:r>
        <w:rPr>
          <w:rFonts w:ascii="Arial MT"/>
          <w:b w:val="0"/>
          <w:i w:val="0"/>
        </w:rPr>
        <w:t xml:space="preserve"> </w:t>
      </w:r>
      <w:r>
        <w:rPr>
          <w:rFonts w:ascii="Arial MT"/>
          <w:b w:val="0"/>
          <w:i w:val="0"/>
        </w:rPr>
        <w:t>και</w:t>
      </w:r>
      <w:r>
        <w:rPr>
          <w:rFonts w:ascii="Arial MT"/>
          <w:b w:val="0"/>
          <w:i w:val="0"/>
        </w:rPr>
        <w:t xml:space="preserve"> </w:t>
      </w:r>
      <w:r>
        <w:rPr>
          <w:rFonts w:ascii="Arial MT"/>
          <w:b w:val="0"/>
          <w:i w:val="0"/>
        </w:rPr>
        <w:t>των</w:t>
      </w:r>
      <w:r>
        <w:rPr>
          <w:rFonts w:ascii="Arial MT"/>
          <w:b w:val="0"/>
          <w:i w:val="0"/>
        </w:rPr>
        <w:t xml:space="preserve"> </w:t>
      </w:r>
      <w:r>
        <w:rPr>
          <w:rFonts w:ascii="Arial MT"/>
          <w:b w:val="0"/>
          <w:i w:val="0"/>
        </w:rPr>
        <w:t>Ευρωπαϊκών</w:t>
      </w:r>
      <w:r>
        <w:rPr>
          <w:rFonts w:ascii="Arial MT"/>
          <w:b w:val="0"/>
          <w:i w:val="0"/>
        </w:rPr>
        <w:t xml:space="preserve"> </w:t>
      </w:r>
      <w:r>
        <w:rPr>
          <w:rFonts w:ascii="Arial MT"/>
          <w:b w:val="0"/>
          <w:i w:val="0"/>
        </w:rPr>
        <w:t>Δικαστηρίων</w:t>
      </w:r>
      <w:r>
        <w:rPr>
          <w:rFonts w:ascii="Arial MT"/>
          <w:b w:val="0"/>
          <w:i w:val="0"/>
        </w:rPr>
        <w:t xml:space="preserve">, </w:t>
      </w:r>
      <w:r>
        <w:t>τα κράτη μέλη πρέπει να έχουν δικαιολογημένες ανεπάρκειες της αγοράς, οι οποίες διαπιστώνονται για παράδειγμα μέσω δημόσιων διαβουλεύσεων, έρευνας αγοράς ή βάσει άλλων κατάλληλων μελετών ή μέσων, να αποφασίζουν σχετικά με την αναγκαιότητα να ορίσουν ορισμένες υπηρεσίες ως υπηρεσίες γενικού οικονομικού συμφέροντος και να καθορίσουν ειδικές απαιτήσεις για την παροχή των εν λόγω υπηρεσιών</w:t>
      </w:r>
      <w:r>
        <w:rPr>
          <w:i w:val="0"/>
        </w:rPr>
        <w:t>.</w:t>
      </w:r>
    </w:p>
    <w:p w14:paraId="0EAE315E" w14:textId="391E8F06" w:rsidR="007B1A84" w:rsidRDefault="002A0261" w:rsidP="003E0C33">
      <w:pPr>
        <w:pStyle w:val="P68B1DB1-a58"/>
        <w:numPr>
          <w:ilvl w:val="0"/>
          <w:numId w:val="37"/>
        </w:numPr>
        <w:tabs>
          <w:tab w:val="left" w:pos="391"/>
          <w:tab w:val="left" w:pos="393"/>
        </w:tabs>
        <w:spacing w:after="120"/>
        <w:ind w:right="428"/>
      </w:pPr>
      <w:r>
        <w:t>Σε περίπτωση που το κράτος μέλος καθορίζει και αναθέτει μια ΥΓΟΣ όπου το πεδίο εφαρμογής της ΥΓΟΣ δεν ορίζεται σε επίπεδο ΕΕ, η αξιολόγηση της Ε</w:t>
      </w:r>
      <w:r w:rsidR="00D4056A">
        <w:rPr>
          <w:lang w:val="el-GR"/>
        </w:rPr>
        <w:t>Ε</w:t>
      </w:r>
      <w:r>
        <w:t xml:space="preserve"> περιορίζεται στον έλεγχο του κατά πόσον το κράτος μέλος έχει διαπράξει πρόδηλο σφάλμα όταν αποφασίζει κατά πόσον μια υπηρεσία μπορεί να παρασχεθεί ικανοποιητικά από το </w:t>
      </w:r>
      <w:hyperlink w:anchor="_bookmark20" w:history="1">
        <w:r>
          <w:t>m</w:t>
        </w:r>
      </w:hyperlink>
      <w:r>
        <w:t xml:space="preserve">arket </w:t>
      </w:r>
      <w:r w:rsidR="00D4056A">
        <w:rPr>
          <w:rStyle w:val="FootnoteReference"/>
        </w:rPr>
        <w:footnoteReference w:id="12"/>
      </w:r>
      <w:r>
        <w:t>.</w:t>
      </w:r>
    </w:p>
    <w:p w14:paraId="3E5CD011" w14:textId="6563E72F" w:rsidR="00001809" w:rsidRPr="00001809" w:rsidRDefault="002A0261" w:rsidP="003E0C33">
      <w:pPr>
        <w:pStyle w:val="P68B1DB1-a58"/>
        <w:numPr>
          <w:ilvl w:val="0"/>
          <w:numId w:val="37"/>
        </w:numPr>
        <w:tabs>
          <w:tab w:val="left" w:pos="391"/>
          <w:tab w:val="left" w:pos="393"/>
        </w:tabs>
        <w:spacing w:after="120"/>
        <w:ind w:right="406"/>
      </w:pPr>
      <w:r>
        <w:t>Η Ε</w:t>
      </w:r>
      <w:r w:rsidR="00D4056A">
        <w:rPr>
          <w:lang w:val="el-GR"/>
        </w:rPr>
        <w:t>Ε</w:t>
      </w:r>
      <w:r>
        <w:t xml:space="preserve"> διευκρίνισε ότι </w:t>
      </w:r>
      <w:r>
        <w:rPr>
          <w:rFonts w:ascii="Arial" w:hAnsi="Arial"/>
          <w:i/>
        </w:rPr>
        <w:t xml:space="preserve">«όταν υπάρχουν άλλες επιχειρήσεις που λειτουργούν υπό κανονικές συνθήκες της αγοράς, οι οποίες δεν είναι επιφορτισμένες με ΥΓΟΣ, οι οποίες παρέχουν ή </w:t>
      </w:r>
      <w:r>
        <w:rPr>
          <w:rFonts w:ascii="Arial" w:hAnsi="Arial"/>
          <w:i/>
        </w:rPr>
        <w:lastRenderedPageBreak/>
        <w:t>μπορούν ήδη να παρέχουν μια υπηρεσία ικανοποιητικά υπό όρους, όπως η τιμή, τα αντικειμενικά ποιοτικά χαρακτηριστικά, η συνέχεια και η πρόσβαση στην υπηρεσία, που συνάδουν με το δημόσιο συμφέρον όπως ορίζεται από το κράτος, η Επιτροπή θεωρεί ότι δεν θα ήταν σκόπιμο να επιβληθεί υποχρέωση παροχής δημόσιας υπηρεσίας σε μια τέτοια υπηρεσία</w:t>
      </w:r>
      <w:hyperlink w:anchor="_bookmark21" w:history="1">
        <w:r>
          <w:rPr>
            <w:rFonts w:ascii="Arial" w:hAnsi="Arial"/>
            <w:i/>
          </w:rPr>
          <w:t>»</w:t>
        </w:r>
        <w:r w:rsidR="00001809">
          <w:rPr>
            <w:rStyle w:val="FootnoteReference"/>
          </w:rPr>
          <w:footnoteReference w:id="13"/>
        </w:r>
      </w:hyperlink>
      <w:r>
        <w:t xml:space="preserve">. </w:t>
      </w:r>
    </w:p>
    <w:p w14:paraId="4BA89E6B" w14:textId="12616B44" w:rsidR="007B1A84" w:rsidRDefault="002A0261" w:rsidP="00001809">
      <w:pPr>
        <w:pStyle w:val="P68B1DB1-a58"/>
        <w:tabs>
          <w:tab w:val="left" w:pos="391"/>
          <w:tab w:val="left" w:pos="393"/>
        </w:tabs>
        <w:spacing w:after="120"/>
        <w:ind w:left="24" w:right="406" w:firstLine="0"/>
      </w:pPr>
      <w:r>
        <w:t>Ο πίνακας 2 παρέχει παραδείγματα για τον τρόπο με τον οποίο τα κράτη μέλη έχουν δικαιολογήσει την ανάγκη παροχής ΥΓΟΣ για συγκεκριμένες περιπτώσεις.</w:t>
      </w:r>
    </w:p>
    <w:p w14:paraId="3551ECC2" w14:textId="5492B0E7" w:rsidR="007B1A84" w:rsidRDefault="002A0261" w:rsidP="005A69EB">
      <w:pPr>
        <w:spacing w:before="120" w:after="120"/>
        <w:ind w:left="23"/>
        <w:jc w:val="both"/>
      </w:pPr>
      <w:r>
        <w:t>Πίνακας 2: Αιτιολόγηση της ανάγκης για ΥΓΟΣ</w:t>
      </w:r>
    </w:p>
    <w:tbl>
      <w:tblPr>
        <w:tblStyle w:val="TableNormal1"/>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372"/>
      </w:tblGrid>
      <w:tr w:rsidR="007B1A84" w14:paraId="4D3B9EA2" w14:textId="77777777">
        <w:trPr>
          <w:trHeight w:val="315"/>
        </w:trPr>
        <w:tc>
          <w:tcPr>
            <w:tcW w:w="9372" w:type="dxa"/>
            <w:shd w:val="clear" w:color="auto" w:fill="B6DDE8"/>
          </w:tcPr>
          <w:p w14:paraId="1BB6C1F5" w14:textId="20248764" w:rsidR="007B1A84" w:rsidRDefault="002A0261" w:rsidP="003E0C33">
            <w:pPr>
              <w:pStyle w:val="P68B1DB1-TableParagraph18"/>
              <w:spacing w:after="120"/>
              <w:ind w:left="118"/>
            </w:pPr>
            <w:r>
              <w:t>Υπόθεση T-17/02</w:t>
            </w:r>
            <w:hyperlink w:anchor="_bookmark22" w:history="1">
              <w:r>
                <w:rPr>
                  <w:vertAlign w:val="superscript"/>
                </w:rPr>
                <w:t>14,</w:t>
              </w:r>
            </w:hyperlink>
            <w:r w:rsidR="005A69EB">
              <w:rPr>
                <w:rStyle w:val="FootnoteReference"/>
              </w:rPr>
              <w:footnoteReference w:id="14"/>
            </w:r>
            <w:r>
              <w:t xml:space="preserve"> σημεία 173, 179, 192 — 197, 201 — 202, 204 — 208, 216 — 227</w:t>
            </w:r>
          </w:p>
        </w:tc>
      </w:tr>
      <w:tr w:rsidR="007B1A84" w14:paraId="43ACC7A9" w14:textId="77777777">
        <w:trPr>
          <w:trHeight w:val="1421"/>
        </w:trPr>
        <w:tc>
          <w:tcPr>
            <w:tcW w:w="9372" w:type="dxa"/>
          </w:tcPr>
          <w:p w14:paraId="03418366" w14:textId="77777777" w:rsidR="007B1A84" w:rsidRDefault="002A0261" w:rsidP="003E0C33">
            <w:pPr>
              <w:pStyle w:val="P68B1DB1-TableParagraph13"/>
              <w:spacing w:after="120"/>
              <w:ind w:left="118" w:right="108"/>
              <w:jc w:val="both"/>
            </w:pPr>
            <w:r>
              <w:t>Η απόφαση τονίζει ότι όταν η αγορά παρέχει υπηρεσίες παράλληλα με καθορισμένες δημόσιες υπηρεσίες, είναι σημαντικό να αποδειχθεί ότι η αγορά δεν ενδιαφέρεται να εξασφαλίσει την παροχή των εν λόγω υπηρεσιών με βάση το εμπορικό συμφέρον, λαμβανομένων υπόψη των απαιτήσεων που καθορίζονται από τις δημόσιες αρχές.</w:t>
            </w:r>
          </w:p>
          <w:p w14:paraId="035A8BAB" w14:textId="77777777" w:rsidR="007B1A84" w:rsidRDefault="002A0261" w:rsidP="003E0C33">
            <w:pPr>
              <w:pStyle w:val="P68B1DB1-TableParagraph13"/>
              <w:spacing w:after="120"/>
              <w:ind w:left="118" w:right="106"/>
              <w:jc w:val="both"/>
            </w:pPr>
            <w:r>
              <w:t>Οι δημόσιες αρχές θα πρέπει να είναι σε θέση να αποδείξουν ότι οι δυνάμεις της αγοράς δεν είναι σε θέση να εγγυηθούν την παροχή των ισοδύναμων υπηρεσιών, επομένως υπάρχει πραγματική ανάγκη ορισμού των ΥΓΟΣ. Σε περίπτωση διαφοράς, είναι σημαντικό να παρουσιαστούν στοιχεία ανάλυσης της αγοράς για να δικαιολογηθεί ότι οι αρχές έχουν αξιολογήσει την πραγματική ανάγκη για δημόσια υπηρεσία.</w:t>
            </w:r>
          </w:p>
        </w:tc>
      </w:tr>
      <w:tr w:rsidR="007B1A84" w14:paraId="4C719440" w14:textId="77777777">
        <w:trPr>
          <w:trHeight w:val="316"/>
        </w:trPr>
        <w:tc>
          <w:tcPr>
            <w:tcW w:w="9372" w:type="dxa"/>
            <w:shd w:val="clear" w:color="auto" w:fill="B6DDE8"/>
          </w:tcPr>
          <w:p w14:paraId="56747321" w14:textId="3D32EF8A" w:rsidR="007B1A84" w:rsidRDefault="002A0261" w:rsidP="003E0C33">
            <w:pPr>
              <w:pStyle w:val="P68B1DB1-TableParagraph19"/>
              <w:spacing w:after="120"/>
              <w:ind w:left="118"/>
              <w:rPr>
                <w:sz w:val="17"/>
              </w:rPr>
            </w:pPr>
            <w:r>
              <w:rPr>
                <w:sz w:val="17"/>
              </w:rPr>
              <w:t>Υπόθεση T-289/03</w:t>
            </w:r>
            <w:hyperlink w:anchor="_bookmark23" w:history="1">
              <w:r>
                <w:rPr>
                  <w:position w:val="6"/>
                  <w:sz w:val="13"/>
                </w:rPr>
                <w:t>15</w:t>
              </w:r>
              <w:r w:rsidR="005A69EB">
                <w:rPr>
                  <w:rStyle w:val="FootnoteReference"/>
                  <w:position w:val="6"/>
                  <w:sz w:val="13"/>
                </w:rPr>
                <w:footnoteReference w:id="15"/>
              </w:r>
              <w:r>
                <w:rPr>
                  <w:position w:val="6"/>
                  <w:sz w:val="13"/>
                </w:rPr>
                <w:t>,</w:t>
              </w:r>
            </w:hyperlink>
            <w:r>
              <w:rPr>
                <w:sz w:val="17"/>
              </w:rPr>
              <w:t xml:space="preserve"> σημεία 165 — 167, 174 — 207</w:t>
            </w:r>
          </w:p>
        </w:tc>
      </w:tr>
      <w:tr w:rsidR="007B1A84" w14:paraId="4280AD98" w14:textId="77777777">
        <w:trPr>
          <w:trHeight w:val="1821"/>
        </w:trPr>
        <w:tc>
          <w:tcPr>
            <w:tcW w:w="9372" w:type="dxa"/>
          </w:tcPr>
          <w:p w14:paraId="3C513E3B" w14:textId="77777777" w:rsidR="007B1A84" w:rsidRDefault="002A0261" w:rsidP="003E0C33">
            <w:pPr>
              <w:pStyle w:val="P68B1DB1-TableParagraph13"/>
              <w:spacing w:after="120"/>
              <w:ind w:left="118" w:right="97"/>
              <w:jc w:val="both"/>
            </w:pPr>
            <w:r>
              <w:t>Η απόφαση τονίζει ότι στο δίκαιο της Ένωσης δεν υπάρχει σαφής και ακριβής κανονιστικός ορισμός της έννοιας της αποστολής ΥΓΟΣ ούτε καθιερωμένη νομική έννοια που να καθορίζει οριστικά τις προϋποθέσεις που πρέπει να πληρούνται προκειμένου ένα κράτος μέλος να μπορεί να επικαλεστεί προσηκόντως την ύπαρξη και την προστασία αποστολής ΥΓΟΣ κατά την έννοια του άρθρου 106 παράγραφος 2 της ΣΛΕΕ.</w:t>
            </w:r>
          </w:p>
          <w:p w14:paraId="13CD3541" w14:textId="77777777" w:rsidR="007B1A84" w:rsidRDefault="002A0261" w:rsidP="003E0C33">
            <w:pPr>
              <w:pStyle w:val="P68B1DB1-TableParagraph13"/>
              <w:spacing w:after="120"/>
              <w:ind w:left="118" w:right="98"/>
              <w:jc w:val="both"/>
            </w:pPr>
            <w:r>
              <w:t>Ο καθορισμός της φύσης και του πεδίου εφαρμογής μιας αποστολής ΥΓΟΣ σε τομείς που δεν εμπίπτουν στις αρμοδιότητες της ΕΕ εμπίπτει στην αρμοδιότητα των κρατών μελών. Το κράτος μέλος πρέπει να είναι σε θέση να αποδείξει τον ειδικό οικουμενικό χαρακτήρα της υπηρεσίας, καθώς και να επισημάνει νομικές πράξεις που καθορίζουν επακριβώς το πεδίο εφαρμογής της υπηρεσίας. Η παροχή της εν λόγω υπηρεσίας πρέπει να αποσκοπεί στην επίτευξη γενικού ή δημοσίου συμφέροντος.</w:t>
            </w:r>
          </w:p>
        </w:tc>
      </w:tr>
      <w:tr w:rsidR="007B1A84" w14:paraId="0A038A7F" w14:textId="77777777">
        <w:trPr>
          <w:trHeight w:val="316"/>
        </w:trPr>
        <w:tc>
          <w:tcPr>
            <w:tcW w:w="9372" w:type="dxa"/>
            <w:shd w:val="clear" w:color="auto" w:fill="B6DDE8"/>
          </w:tcPr>
          <w:p w14:paraId="5D9075C9" w14:textId="70CB9DD5" w:rsidR="007B1A84" w:rsidRDefault="002A0261" w:rsidP="003E0C33">
            <w:pPr>
              <w:pStyle w:val="P68B1DB1-TableParagraph20"/>
              <w:spacing w:after="120"/>
              <w:ind w:left="118"/>
            </w:pPr>
            <w:r>
              <w:t>Υπόθεση</w:t>
            </w:r>
            <w:r>
              <w:t xml:space="preserve"> C-205/99</w:t>
            </w:r>
            <w:hyperlink w:anchor="_bookmark24" w:history="1">
              <w:r>
                <w:rPr>
                  <w:vertAlign w:val="superscript"/>
                </w:rPr>
                <w:t>16</w:t>
              </w:r>
              <w:r w:rsidR="005A69EB">
                <w:rPr>
                  <w:rStyle w:val="FootnoteReference"/>
                </w:rPr>
                <w:footnoteReference w:id="16"/>
              </w:r>
              <w:r>
                <w:rPr>
                  <w:vertAlign w:val="superscript"/>
                </w:rPr>
                <w:t>,</w:t>
              </w:r>
            </w:hyperlink>
            <w:r>
              <w:t xml:space="preserve"> </w:t>
            </w:r>
            <w:r>
              <w:t>σημείο</w:t>
            </w:r>
            <w:r>
              <w:t xml:space="preserve"> 34 (</w:t>
            </w:r>
            <w:r>
              <w:t>Λόγοι</w:t>
            </w:r>
            <w:r>
              <w:t xml:space="preserve">) </w:t>
            </w:r>
            <w:r>
              <w:t>και</w:t>
            </w:r>
            <w:r>
              <w:t xml:space="preserve"> </w:t>
            </w:r>
            <w:r>
              <w:t>σημείο</w:t>
            </w:r>
            <w:r>
              <w:t xml:space="preserve"> 1 (</w:t>
            </w:r>
            <w:r>
              <w:t>Λειτουργικό</w:t>
            </w:r>
            <w:r>
              <w:t xml:space="preserve"> </w:t>
            </w:r>
            <w:r>
              <w:t>μέρος</w:t>
            </w:r>
            <w:r>
              <w:t>)</w:t>
            </w:r>
          </w:p>
        </w:tc>
      </w:tr>
      <w:tr w:rsidR="007B1A84" w14:paraId="1BBA7A57" w14:textId="77777777">
        <w:trPr>
          <w:trHeight w:val="732"/>
        </w:trPr>
        <w:tc>
          <w:tcPr>
            <w:tcW w:w="9372" w:type="dxa"/>
          </w:tcPr>
          <w:p w14:paraId="44E4E1E2" w14:textId="77777777" w:rsidR="007B1A84" w:rsidRDefault="002A0261" w:rsidP="003E0C33">
            <w:pPr>
              <w:pStyle w:val="P68B1DB1-TableParagraph13"/>
              <w:spacing w:after="120"/>
              <w:ind w:left="118" w:right="106"/>
              <w:jc w:val="both"/>
            </w:pPr>
            <w:r>
              <w:t>Η απόφαση τονίζει ότι η ελεύθερη παροχή υπηρεσιών μπορεί να περιοριστεί με διοικητική απόφαση εάν είναι δυνατόν να αποδειχθεί ότι υπάρχει πραγματική ανάγκη παροχής δημόσιας υπηρεσίας σε μια κατάσταση όπου η αγορά δεν ενδιαφέρεται να παράσχει επαρκείς υπηρεσίες υπό συνθήκες ελεύθερου ανταγωνισμού.</w:t>
            </w:r>
          </w:p>
        </w:tc>
      </w:tr>
      <w:tr w:rsidR="007B1A84" w14:paraId="28475AE8" w14:textId="77777777">
        <w:trPr>
          <w:trHeight w:val="652"/>
        </w:trPr>
        <w:tc>
          <w:tcPr>
            <w:tcW w:w="9372" w:type="dxa"/>
            <w:shd w:val="clear" w:color="auto" w:fill="B6DDE8"/>
          </w:tcPr>
          <w:p w14:paraId="5BF409E9" w14:textId="20C7C67B" w:rsidR="007B1A84" w:rsidRDefault="002A0261" w:rsidP="003E0C33">
            <w:pPr>
              <w:pStyle w:val="P68B1DB1-TableParagraph18"/>
              <w:spacing w:after="120"/>
              <w:ind w:left="118"/>
            </w:pPr>
            <w:r>
              <w:t xml:space="preserve">Υπόθεση κρατικής ενίσχυσης </w:t>
            </w:r>
            <w:hyperlink r:id="rId13">
              <w:r>
                <w:rPr>
                  <w:color w:val="002E67"/>
                  <w:u w:val="single" w:color="002E67"/>
                </w:rPr>
                <w:t>SA.48120,</w:t>
              </w:r>
            </w:hyperlink>
            <w:r>
              <w:t xml:space="preserve"> σημεία 9 — 10, 13 — 14, 60 — 62, 66 — 67</w:t>
            </w:r>
          </w:p>
          <w:p w14:paraId="3C2D133A" w14:textId="0B17684F" w:rsidR="007B1A84" w:rsidRDefault="002A0261" w:rsidP="003E0C33">
            <w:pPr>
              <w:pStyle w:val="P68B1DB1-TableParagraph18"/>
              <w:spacing w:after="120"/>
              <w:ind w:left="118"/>
            </w:pPr>
            <w:r>
              <w:t xml:space="preserve">Υπόθεση κρατικής ενίσχυσης </w:t>
            </w:r>
            <w:hyperlink r:id="rId14">
              <w:r>
                <w:rPr>
                  <w:color w:val="002E67"/>
                  <w:u w:val="single" w:color="002E67"/>
                </w:rPr>
                <w:t>SA.49523,</w:t>
              </w:r>
            </w:hyperlink>
            <w:r>
              <w:t xml:space="preserve"> σημεία 13 — 14, 17 — 18, 63 — 66, 70 — 72</w:t>
            </w:r>
          </w:p>
        </w:tc>
      </w:tr>
      <w:tr w:rsidR="007B1A84" w14:paraId="006C0563" w14:textId="77777777">
        <w:trPr>
          <w:trHeight w:val="1549"/>
        </w:trPr>
        <w:tc>
          <w:tcPr>
            <w:tcW w:w="9372" w:type="dxa"/>
          </w:tcPr>
          <w:p w14:paraId="54775105" w14:textId="77777777" w:rsidR="007B1A84" w:rsidRDefault="002A0261" w:rsidP="003E0C33">
            <w:pPr>
              <w:pStyle w:val="P68B1DB1-TableParagraph13"/>
              <w:spacing w:after="120"/>
              <w:ind w:left="118" w:right="102"/>
              <w:jc w:val="both"/>
            </w:pPr>
            <w:r>
              <w:t>Με βάση τα στοιχεία της αγοράς, συνήχθη το συμπέρασμα ότι η λειτουργία μιας υπηρεσίας δεν είναι κερδοφόρα για συνολικά 12 μήνες του έτους. Ο πάροχος υπηρεσιών (ναυτιλιακές εταιρείες) έχει εμπορικό συμφέρον να εκτελεί προκαθορισμένα δρομολόγια μόνο το καλοκαίρι (περίοδος αιχμής), όταν τα έσοδα υπερβαίνουν τις δαπάνες· τα κέρδη που παράγονται κατά την περίοδο αιχμής δεν επαρκούν για την κάλυψη των ζημιών που καταγράφηκαν κατά το υπόλοιπο του έτους. Η ζήτηση για την εν λόγω υπηρεσία δεν μπορεί να ικανοποιηθεί από φορείς της αγοράς χωρίς σύμβαση παροχής δημόσιας υπηρεσίας και αντιστάθμιση για την παροχή δημόσιας υπηρεσίας. Το καθορισμένο πεδίο εφαρμογής των σχετικών ΥΓΟΣ συνδέεται με τη χορήγηση αποκλειστικών δικαιωμάτων. Η παραχώρηση αποκλειστικών δικαιωμάτων που συνδέονται με ΥΓΟΣ ήταν δικαιολογημένη, καθώς παρέχει τη δυνατότητα μείωσης του ποσού της δημόσιας αντιστάθμισης.</w:t>
            </w:r>
          </w:p>
        </w:tc>
      </w:tr>
      <w:tr w:rsidR="007B1A84" w14:paraId="583AC6A4" w14:textId="77777777">
        <w:trPr>
          <w:trHeight w:val="316"/>
        </w:trPr>
        <w:tc>
          <w:tcPr>
            <w:tcW w:w="9372" w:type="dxa"/>
            <w:shd w:val="clear" w:color="auto" w:fill="B6DDE8"/>
          </w:tcPr>
          <w:p w14:paraId="4B174EE7" w14:textId="2BC7E3DA" w:rsidR="007B1A84" w:rsidRDefault="002A0261" w:rsidP="003E0C33">
            <w:pPr>
              <w:pStyle w:val="P68B1DB1-TableParagraph20"/>
              <w:spacing w:after="120"/>
              <w:ind w:left="118"/>
            </w:pPr>
            <w:r>
              <w:rPr>
                <w:color w:val="006FC0"/>
              </w:rPr>
              <w:t>Υπόθεση</w:t>
            </w:r>
            <w:r>
              <w:rPr>
                <w:color w:val="006FC0"/>
              </w:rPr>
              <w:t xml:space="preserve"> </w:t>
            </w:r>
            <w:r>
              <w:rPr>
                <w:color w:val="006FC0"/>
              </w:rPr>
              <w:t>κρατικής</w:t>
            </w:r>
            <w:r>
              <w:rPr>
                <w:color w:val="006FC0"/>
              </w:rPr>
              <w:t xml:space="preserve"> </w:t>
            </w:r>
            <w:r>
              <w:rPr>
                <w:color w:val="006FC0"/>
              </w:rPr>
              <w:t>ενίσχυσης</w:t>
            </w:r>
            <w:r>
              <w:rPr>
                <w:color w:val="006FC0"/>
              </w:rPr>
              <w:t xml:space="preserve"> </w:t>
            </w:r>
            <w:hyperlink r:id="rId15">
              <w:r>
                <w:rPr>
                  <w:color w:val="0000FF"/>
                  <w:u w:val="single" w:color="0000FF"/>
                </w:rPr>
                <w:t>SA.32014,</w:t>
              </w:r>
            </w:hyperlink>
            <w:r>
              <w:rPr>
                <w:color w:val="006FC0"/>
              </w:rPr>
              <w:t xml:space="preserve"> SA.32015, SA.32016, </w:t>
            </w:r>
            <w:r>
              <w:rPr>
                <w:color w:val="006FC0"/>
              </w:rPr>
              <w:t>σημεία</w:t>
            </w:r>
            <w:r>
              <w:rPr>
                <w:color w:val="006FC0"/>
              </w:rPr>
              <w:t xml:space="preserve"> 178-195, 289-293, </w:t>
            </w:r>
            <w:r>
              <w:rPr>
                <w:color w:val="006FC0"/>
              </w:rPr>
              <w:t>πίνακας</w:t>
            </w:r>
            <w:r>
              <w:rPr>
                <w:color w:val="006FC0"/>
              </w:rPr>
              <w:t xml:space="preserve"> 9</w:t>
            </w:r>
          </w:p>
        </w:tc>
      </w:tr>
      <w:tr w:rsidR="007B1A84" w14:paraId="1D4B5B0D" w14:textId="77777777" w:rsidTr="002D53CA">
        <w:trPr>
          <w:trHeight w:val="2809"/>
        </w:trPr>
        <w:tc>
          <w:tcPr>
            <w:tcW w:w="9372" w:type="dxa"/>
          </w:tcPr>
          <w:p w14:paraId="61E354E6" w14:textId="77777777" w:rsidR="007B1A84" w:rsidRDefault="002A0261" w:rsidP="003E0C33">
            <w:pPr>
              <w:pStyle w:val="P68B1DB1-TableParagraph13"/>
              <w:spacing w:after="120"/>
              <w:ind w:left="118" w:right="83"/>
              <w:jc w:val="both"/>
            </w:pPr>
            <w:r>
              <w:lastRenderedPageBreak/>
              <w:t>Κατά την περίοδο που προηγήθηκε της υπογραφής της νέας σύμβασης παροχής δημόσιας υπηρεσίας με τον επιλεγμένο πάροχο ΥΓΟΣ, άλλοι φορείς εκμετάλλευσης προσέφεραν υπηρεσίες πορθμείων σε ορισμένα δρομολόγια που αποτελούν αντικείμενο της νέας σύμβασης παροχής δημόσιας υπηρεσίας, αν και όχι απαραίτητα καθ’ όλη τη διάρκεια του έτους, με την ίδια συχνότητα και τον ίδιο τύπο υπηρεσίας.</w:t>
            </w:r>
          </w:p>
          <w:p w14:paraId="693CD4CB" w14:textId="77777777" w:rsidR="007B1A84" w:rsidRDefault="002A0261" w:rsidP="003E0C33">
            <w:pPr>
              <w:pStyle w:val="P68B1DB1-TableParagraph13"/>
              <w:spacing w:after="120"/>
              <w:ind w:left="118" w:right="106"/>
              <w:jc w:val="both"/>
            </w:pPr>
            <w:r>
              <w:t>Η Ευρωπαϊκή Επιτροπή αξιολόγησε για καθένα από τα σχετικά δρομολόγια κατά πόσον οι υπηρεσίες που παρασχέθηκαν από άλλους φορείς ήταν ισοδύναμες με εκείνες που πρέπει να παρέχει ο επιλεγμένος πάροχος ΥΓΟΣ στο πλαίσιο της νέας σύμβασης παροχής δημόσιας υπηρεσίας.</w:t>
            </w:r>
          </w:p>
          <w:p w14:paraId="5DBC5665" w14:textId="77777777" w:rsidR="007B1A84" w:rsidRDefault="002A0261" w:rsidP="003E0C33">
            <w:pPr>
              <w:pStyle w:val="P68B1DB1-TableParagraph13"/>
              <w:spacing w:after="120"/>
              <w:ind w:left="118" w:right="108"/>
              <w:jc w:val="both"/>
            </w:pPr>
            <w:r>
              <w:t>Διαπιστώθηκε ότι οι υπηρεσίες που προσφέρονται από τον επιλεγμένο πάροχο ΥΓΟΣ δεν μπορούν να υποκατασταθούν από εκείνες που προσφέρονται από άλλους ανταγωνιστές, δεδομένου ότι οι τελευταίοι δεν εξυπηρετούν ή δεν εξυπηρετούν πλήρως τις υποχρεώσεις παροχής δημόσιας υπηρεσίας που προβλέπονται στη νέα σύμβαση παροχής δημόσιας υπηρεσίας με τον επιλεγμένο πάροχο ΥΓΟΣ (σε τέσσερις από τις επτά γραμμές, δεν υπήρχε άλλος φορέας εκτός από τον επιλεγμένο πάροχο ΥΓΟΣ που παρείχε την υπηρεσία). Όσον αφορά τα δρομολόγια στα οποία πρόσφεραν επίσης υπηρεσίες και άλλοι φορείς εκμετάλλευσης, η ΕΚ έκρινε ότι υπάρχουν σημαντικές διαφορές όσον αφορά το είδος, την κανονικότητα, τη μεταφορική ικανότητα και την τιμή των προσφερόμενων υπηρεσιών.</w:t>
            </w:r>
          </w:p>
        </w:tc>
      </w:tr>
    </w:tbl>
    <w:p w14:paraId="3710DC33" w14:textId="77777777" w:rsidR="007B1A84" w:rsidRDefault="007B1A84" w:rsidP="003E0C33">
      <w:pPr>
        <w:pStyle w:val="BodyText"/>
        <w:spacing w:after="120"/>
        <w:rPr>
          <w:rFonts w:ascii="Arial"/>
          <w:b/>
          <w:sz w:val="20"/>
        </w:rPr>
      </w:pPr>
    </w:p>
    <w:p w14:paraId="1D8E3956" w14:textId="5F70A5D7" w:rsidR="007B1A84" w:rsidRDefault="002A0261" w:rsidP="003E0C33">
      <w:pPr>
        <w:pStyle w:val="P68B1DB1-a58"/>
        <w:numPr>
          <w:ilvl w:val="0"/>
          <w:numId w:val="37"/>
        </w:numPr>
        <w:tabs>
          <w:tab w:val="left" w:pos="391"/>
          <w:tab w:val="left" w:pos="393"/>
        </w:tabs>
        <w:spacing w:after="120"/>
        <w:ind w:right="394"/>
      </w:pPr>
      <w:r>
        <w:rPr>
          <w:rFonts w:ascii="Arial"/>
          <w:b/>
          <w:i/>
        </w:rPr>
        <w:t>Όταν</w:t>
      </w:r>
      <w:r>
        <w:rPr>
          <w:rFonts w:ascii="Arial"/>
          <w:b/>
          <w:i/>
        </w:rPr>
        <w:t xml:space="preserve"> </w:t>
      </w:r>
      <w:r>
        <w:rPr>
          <w:rFonts w:ascii="Arial"/>
          <w:b/>
          <w:i/>
        </w:rPr>
        <w:t>τα</w:t>
      </w:r>
      <w:r>
        <w:rPr>
          <w:rFonts w:ascii="Arial"/>
          <w:b/>
          <w:i/>
        </w:rPr>
        <w:t xml:space="preserve"> </w:t>
      </w:r>
      <w:r>
        <w:rPr>
          <w:rFonts w:ascii="Arial"/>
          <w:b/>
          <w:i/>
        </w:rPr>
        <w:t>δημοτικά</w:t>
      </w:r>
      <w:r>
        <w:rPr>
          <w:rFonts w:ascii="Arial"/>
          <w:b/>
          <w:i/>
        </w:rPr>
        <w:t xml:space="preserve"> </w:t>
      </w:r>
      <w:r>
        <w:rPr>
          <w:rFonts w:ascii="Arial"/>
          <w:b/>
          <w:i/>
        </w:rPr>
        <w:t>απόβλητα</w:t>
      </w:r>
      <w:r w:rsidR="002D53CA">
        <w:rPr>
          <w:rStyle w:val="FootnoteReference"/>
          <w:rFonts w:ascii="Arial"/>
          <w:b/>
          <w:i/>
        </w:rPr>
        <w:footnoteReference w:id="17"/>
      </w:r>
      <w:r>
        <w:rPr>
          <w:rFonts w:ascii="Arial"/>
          <w:b/>
          <w:i/>
        </w:rPr>
        <w:t xml:space="preserve">, </w:t>
      </w:r>
      <w:r>
        <w:rPr>
          <w:rFonts w:ascii="Arial"/>
          <w:b/>
          <w:i/>
        </w:rPr>
        <w:t>καθώς</w:t>
      </w:r>
      <w:r>
        <w:rPr>
          <w:rFonts w:ascii="Arial"/>
          <w:b/>
          <w:i/>
        </w:rPr>
        <w:t xml:space="preserve"> </w:t>
      </w:r>
      <w:r>
        <w:rPr>
          <w:rFonts w:ascii="Arial"/>
          <w:b/>
          <w:i/>
        </w:rPr>
        <w:t>και</w:t>
      </w:r>
      <w:r>
        <w:rPr>
          <w:rFonts w:ascii="Arial"/>
          <w:b/>
          <w:i/>
        </w:rPr>
        <w:t xml:space="preserve"> </w:t>
      </w:r>
      <w:r>
        <w:rPr>
          <w:rFonts w:ascii="Arial"/>
          <w:b/>
          <w:i/>
        </w:rPr>
        <w:t>τα</w:t>
      </w:r>
      <w:hyperlink w:anchor="_bookmark27" w:history="1">
        <w:r>
          <w:rPr>
            <w:rFonts w:ascii="Arial"/>
            <w:b/>
            <w:i/>
            <w:vertAlign w:val="superscript"/>
          </w:rPr>
          <w:t>18</w:t>
        </w:r>
        <w:r w:rsidR="002D53CA">
          <w:rPr>
            <w:rStyle w:val="FootnoteReference"/>
            <w:rFonts w:ascii="Arial"/>
            <w:b/>
            <w:i/>
          </w:rPr>
          <w:footnoteReference w:id="18"/>
        </w:r>
        <w:r>
          <w:rPr>
            <w:rFonts w:ascii="Arial"/>
            <w:b/>
            <w:i/>
          </w:rPr>
          <w:t>απόβλητα</w:t>
        </w:r>
        <w:r>
          <w:rPr>
            <w:rFonts w:ascii="Arial"/>
            <w:b/>
            <w:i/>
          </w:rPr>
          <w:t xml:space="preserve"> </w:t>
        </w:r>
        <w:r>
          <w:rPr>
            <w:rFonts w:ascii="Arial"/>
            <w:b/>
            <w:i/>
          </w:rPr>
          <w:t>του</w:t>
        </w:r>
      </w:hyperlink>
      <w:r>
        <w:rPr>
          <w:rFonts w:ascii="Arial"/>
          <w:b/>
          <w:i/>
        </w:rPr>
        <w:t xml:space="preserve"> </w:t>
      </w:r>
      <w:r>
        <w:rPr>
          <w:rFonts w:ascii="Arial"/>
          <w:b/>
          <w:i/>
        </w:rPr>
        <w:t>συστήματος</w:t>
      </w:r>
      <w:r>
        <w:rPr>
          <w:rFonts w:ascii="Arial"/>
          <w:b/>
          <w:i/>
        </w:rPr>
        <w:t xml:space="preserve"> </w:t>
      </w:r>
      <w:r>
        <w:rPr>
          <w:rFonts w:ascii="Arial"/>
          <w:b/>
          <w:i/>
        </w:rPr>
        <w:t>διευρυμένης</w:t>
      </w:r>
      <w:r>
        <w:rPr>
          <w:rFonts w:ascii="Arial"/>
          <w:b/>
          <w:i/>
        </w:rPr>
        <w:t xml:space="preserve"> </w:t>
      </w:r>
      <w:r>
        <w:rPr>
          <w:rFonts w:ascii="Arial"/>
          <w:b/>
          <w:i/>
        </w:rPr>
        <w:t>ευθύνης</w:t>
      </w:r>
      <w:r>
        <w:rPr>
          <w:rFonts w:ascii="Arial"/>
          <w:b/>
          <w:i/>
        </w:rPr>
        <w:t xml:space="preserve"> </w:t>
      </w:r>
      <w:r>
        <w:rPr>
          <w:rFonts w:ascii="Arial"/>
          <w:b/>
          <w:i/>
        </w:rPr>
        <w:t>του</w:t>
      </w:r>
      <w:r>
        <w:rPr>
          <w:rFonts w:ascii="Arial"/>
          <w:b/>
          <w:i/>
        </w:rPr>
        <w:t xml:space="preserve"> </w:t>
      </w:r>
      <w:r>
        <w:rPr>
          <w:rFonts w:ascii="Arial"/>
          <w:b/>
          <w:i/>
        </w:rPr>
        <w:t>παραγωγού</w:t>
      </w:r>
      <w:r>
        <w:rPr>
          <w:rFonts w:ascii="Arial"/>
          <w:b/>
          <w:i/>
        </w:rPr>
        <w:t xml:space="preserve"> </w:t>
      </w:r>
      <w:r>
        <w:rPr>
          <w:rFonts w:ascii="Arial"/>
          <w:b/>
          <w:i/>
        </w:rPr>
        <w:t>αναμειγνύονται</w:t>
      </w:r>
      <w:r>
        <w:rPr>
          <w:rFonts w:ascii="Arial"/>
          <w:b/>
          <w:i/>
        </w:rPr>
        <w:t xml:space="preserve"> </w:t>
      </w:r>
      <w:r>
        <w:rPr>
          <w:rFonts w:ascii="Arial"/>
          <w:b/>
          <w:i/>
        </w:rPr>
        <w:t>κατά</w:t>
      </w:r>
      <w:r>
        <w:rPr>
          <w:rFonts w:ascii="Arial"/>
          <w:b/>
          <w:i/>
        </w:rPr>
        <w:t xml:space="preserve"> </w:t>
      </w:r>
      <w:r>
        <w:rPr>
          <w:rFonts w:ascii="Arial"/>
          <w:b/>
          <w:i/>
        </w:rPr>
        <w:t>τρόπο</w:t>
      </w:r>
      <w:r>
        <w:rPr>
          <w:rFonts w:ascii="Arial"/>
          <w:b/>
          <w:i/>
        </w:rPr>
        <w:t xml:space="preserve"> </w:t>
      </w:r>
      <w:r>
        <w:rPr>
          <w:rFonts w:ascii="Arial"/>
          <w:b/>
          <w:i/>
        </w:rPr>
        <w:t>ώστε</w:t>
      </w:r>
      <w:r>
        <w:rPr>
          <w:rFonts w:ascii="Arial"/>
          <w:b/>
          <w:i/>
        </w:rPr>
        <w:t xml:space="preserve"> </w:t>
      </w:r>
      <w:r>
        <w:rPr>
          <w:rFonts w:ascii="Arial"/>
          <w:b/>
          <w:i/>
        </w:rPr>
        <w:t>να</w:t>
      </w:r>
      <w:r>
        <w:rPr>
          <w:rFonts w:ascii="Arial"/>
          <w:b/>
          <w:i/>
        </w:rPr>
        <w:t xml:space="preserve"> </w:t>
      </w:r>
      <w:r>
        <w:rPr>
          <w:rFonts w:ascii="Arial"/>
          <w:b/>
          <w:i/>
        </w:rPr>
        <w:t>μην</w:t>
      </w:r>
      <w:r>
        <w:rPr>
          <w:rFonts w:ascii="Arial"/>
          <w:b/>
          <w:i/>
        </w:rPr>
        <w:t xml:space="preserve"> </w:t>
      </w:r>
      <w:r>
        <w:rPr>
          <w:rFonts w:ascii="Arial"/>
          <w:b/>
          <w:i/>
        </w:rPr>
        <w:t>είναι</w:t>
      </w:r>
      <w:r>
        <w:rPr>
          <w:rFonts w:ascii="Arial"/>
          <w:b/>
          <w:i/>
        </w:rPr>
        <w:t xml:space="preserve"> </w:t>
      </w:r>
      <w:r>
        <w:rPr>
          <w:rFonts w:ascii="Arial"/>
          <w:b/>
          <w:i/>
        </w:rPr>
        <w:t>δυνατόν</w:t>
      </w:r>
      <w:r>
        <w:rPr>
          <w:rFonts w:ascii="Arial"/>
          <w:b/>
          <w:i/>
        </w:rPr>
        <w:t xml:space="preserve"> </w:t>
      </w:r>
      <w:r>
        <w:rPr>
          <w:rFonts w:ascii="Arial"/>
          <w:b/>
          <w:i/>
        </w:rPr>
        <w:t>να</w:t>
      </w:r>
      <w:r>
        <w:rPr>
          <w:rFonts w:ascii="Arial"/>
          <w:b/>
          <w:i/>
        </w:rPr>
        <w:t xml:space="preserve"> </w:t>
      </w:r>
      <w:r>
        <w:rPr>
          <w:rFonts w:ascii="Arial"/>
          <w:b/>
          <w:i/>
        </w:rPr>
        <w:t>διαπιστωθεί</w:t>
      </w:r>
      <w:r>
        <w:rPr>
          <w:rFonts w:ascii="Arial"/>
          <w:b/>
          <w:i/>
        </w:rPr>
        <w:t xml:space="preserve"> </w:t>
      </w:r>
      <w:r>
        <w:rPr>
          <w:rFonts w:ascii="Arial"/>
          <w:b/>
          <w:i/>
        </w:rPr>
        <w:t>η</w:t>
      </w:r>
      <w:r>
        <w:rPr>
          <w:rFonts w:ascii="Arial"/>
          <w:b/>
          <w:i/>
        </w:rPr>
        <w:t xml:space="preserve"> </w:t>
      </w:r>
      <w:r>
        <w:rPr>
          <w:rFonts w:ascii="Arial"/>
          <w:b/>
          <w:i/>
        </w:rPr>
        <w:t>παρουσία</w:t>
      </w:r>
      <w:r>
        <w:rPr>
          <w:rFonts w:ascii="Arial"/>
          <w:b/>
          <w:i/>
        </w:rPr>
        <w:t xml:space="preserve"> </w:t>
      </w:r>
      <w:r>
        <w:rPr>
          <w:rFonts w:ascii="Arial"/>
          <w:b/>
          <w:i/>
        </w:rPr>
        <w:t>ροών</w:t>
      </w:r>
      <w:r>
        <w:rPr>
          <w:rFonts w:ascii="Arial"/>
          <w:b/>
          <w:i/>
        </w:rPr>
        <w:t xml:space="preserve"> </w:t>
      </w:r>
      <w:r>
        <w:rPr>
          <w:rFonts w:ascii="Arial"/>
          <w:b/>
          <w:i/>
        </w:rPr>
        <w:t>αποβλήτων</w:t>
      </w:r>
      <w:r>
        <w:rPr>
          <w:rFonts w:ascii="Arial"/>
          <w:b/>
          <w:i/>
        </w:rPr>
        <w:t xml:space="preserve"> </w:t>
      </w:r>
      <w:r>
        <w:rPr>
          <w:rFonts w:ascii="Arial"/>
          <w:b/>
          <w:i/>
        </w:rPr>
        <w:t>διαφορετικής</w:t>
      </w:r>
      <w:r>
        <w:rPr>
          <w:rFonts w:ascii="Arial"/>
          <w:b/>
          <w:i/>
        </w:rPr>
        <w:t xml:space="preserve"> </w:t>
      </w:r>
      <w:r>
        <w:rPr>
          <w:rFonts w:ascii="Arial"/>
          <w:b/>
          <w:i/>
        </w:rPr>
        <w:t>προέλευσης</w:t>
      </w:r>
      <w:r>
        <w:rPr>
          <w:rFonts w:ascii="Arial"/>
          <w:b/>
          <w:i/>
        </w:rPr>
        <w:t xml:space="preserve"> </w:t>
      </w:r>
      <w:r>
        <w:rPr>
          <w:rFonts w:ascii="Arial"/>
          <w:b/>
          <w:i/>
        </w:rPr>
        <w:t>πριν</w:t>
      </w:r>
      <w:r>
        <w:rPr>
          <w:rFonts w:ascii="Arial"/>
          <w:b/>
          <w:i/>
        </w:rPr>
        <w:t xml:space="preserve"> </w:t>
      </w:r>
      <w:r>
        <w:rPr>
          <w:rFonts w:ascii="Arial"/>
          <w:b/>
          <w:i/>
        </w:rPr>
        <w:t>από</w:t>
      </w:r>
      <w:r>
        <w:rPr>
          <w:rFonts w:ascii="Arial"/>
          <w:b/>
          <w:i/>
        </w:rPr>
        <w:t xml:space="preserve"> </w:t>
      </w:r>
      <w:r>
        <w:rPr>
          <w:rFonts w:ascii="Arial"/>
          <w:b/>
          <w:i/>
        </w:rPr>
        <w:t>την</w:t>
      </w:r>
      <w:r>
        <w:rPr>
          <w:rFonts w:ascii="Arial"/>
          <w:b/>
          <w:i/>
        </w:rPr>
        <w:t xml:space="preserve"> </w:t>
      </w:r>
      <w:r>
        <w:rPr>
          <w:rFonts w:ascii="Arial"/>
          <w:b/>
          <w:i/>
        </w:rPr>
        <w:t>επεξεργασία</w:t>
      </w:r>
      <w:r>
        <w:rPr>
          <w:rFonts w:ascii="Arial"/>
          <w:b/>
          <w:i/>
        </w:rPr>
        <w:t>/</w:t>
      </w:r>
      <w:r>
        <w:rPr>
          <w:rFonts w:ascii="Arial"/>
          <w:b/>
          <w:i/>
        </w:rPr>
        <w:t>διαλογή</w:t>
      </w:r>
      <w:r>
        <w:rPr>
          <w:rFonts w:ascii="Arial"/>
          <w:b/>
          <w:i/>
        </w:rPr>
        <w:t xml:space="preserve"> </w:t>
      </w:r>
      <w:r>
        <w:rPr>
          <w:rFonts w:ascii="Arial"/>
          <w:b/>
          <w:i/>
        </w:rPr>
        <w:t>των</w:t>
      </w:r>
      <w:r>
        <w:rPr>
          <w:rFonts w:ascii="Arial"/>
          <w:b/>
          <w:i/>
        </w:rPr>
        <w:t xml:space="preserve"> </w:t>
      </w:r>
      <w:r>
        <w:rPr>
          <w:rFonts w:ascii="Arial"/>
          <w:b/>
          <w:i/>
        </w:rPr>
        <w:t>αποβλήτων</w:t>
      </w:r>
      <w:r>
        <w:rPr>
          <w:rFonts w:ascii="Arial"/>
          <w:b/>
          <w:i/>
        </w:rPr>
        <w:t xml:space="preserve">, </w:t>
      </w:r>
      <w:r>
        <w:rPr>
          <w:rFonts w:ascii="Arial"/>
          <w:b/>
          <w:i/>
        </w:rPr>
        <w:t>τα</w:t>
      </w:r>
      <w:r>
        <w:rPr>
          <w:rFonts w:ascii="Arial"/>
          <w:b/>
          <w:i/>
        </w:rPr>
        <w:t xml:space="preserve"> </w:t>
      </w:r>
      <w:r>
        <w:rPr>
          <w:rFonts w:ascii="Arial"/>
          <w:b/>
          <w:i/>
        </w:rPr>
        <w:t>συνολικά</w:t>
      </w:r>
      <w:r>
        <w:rPr>
          <w:rFonts w:ascii="Arial"/>
          <w:b/>
          <w:i/>
        </w:rPr>
        <w:t xml:space="preserve"> </w:t>
      </w:r>
      <w:r>
        <w:rPr>
          <w:rFonts w:ascii="Arial"/>
          <w:b/>
          <w:i/>
        </w:rPr>
        <w:t>απόβλητα</w:t>
      </w:r>
      <w:r>
        <w:rPr>
          <w:rFonts w:ascii="Arial"/>
          <w:b/>
          <w:i/>
        </w:rPr>
        <w:t xml:space="preserve"> </w:t>
      </w:r>
      <w:r>
        <w:rPr>
          <w:rFonts w:ascii="Arial"/>
          <w:b/>
          <w:i/>
        </w:rPr>
        <w:t>που</w:t>
      </w:r>
      <w:r>
        <w:rPr>
          <w:rFonts w:ascii="Arial"/>
          <w:b/>
          <w:i/>
        </w:rPr>
        <w:t xml:space="preserve"> </w:t>
      </w:r>
      <w:r>
        <w:rPr>
          <w:rFonts w:ascii="Arial"/>
          <w:b/>
          <w:i/>
        </w:rPr>
        <w:t>υποβάλλονται</w:t>
      </w:r>
      <w:r>
        <w:rPr>
          <w:rFonts w:ascii="Arial"/>
          <w:b/>
          <w:i/>
        </w:rPr>
        <w:t xml:space="preserve"> </w:t>
      </w:r>
      <w:r>
        <w:rPr>
          <w:rFonts w:ascii="Arial"/>
          <w:b/>
          <w:i/>
        </w:rPr>
        <w:t>σε</w:t>
      </w:r>
      <w:r>
        <w:rPr>
          <w:rFonts w:ascii="Arial"/>
          <w:b/>
          <w:i/>
        </w:rPr>
        <w:t xml:space="preserve"> </w:t>
      </w:r>
      <w:r>
        <w:rPr>
          <w:rFonts w:ascii="Arial"/>
          <w:b/>
          <w:i/>
        </w:rPr>
        <w:t>επεξεργασία</w:t>
      </w:r>
      <w:r>
        <w:rPr>
          <w:rFonts w:ascii="Arial"/>
          <w:b/>
          <w:i/>
        </w:rPr>
        <w:t xml:space="preserve"> </w:t>
      </w:r>
      <w:r>
        <w:rPr>
          <w:rFonts w:ascii="Arial"/>
          <w:b/>
          <w:i/>
        </w:rPr>
        <w:t>από</w:t>
      </w:r>
      <w:r>
        <w:rPr>
          <w:rFonts w:ascii="Arial"/>
          <w:b/>
          <w:i/>
        </w:rPr>
        <w:t xml:space="preserve"> </w:t>
      </w:r>
      <w:r>
        <w:rPr>
          <w:rFonts w:ascii="Arial"/>
          <w:b/>
          <w:i/>
        </w:rPr>
        <w:t>ΜΑΑ</w:t>
      </w:r>
      <w:r>
        <w:rPr>
          <w:rFonts w:ascii="Arial"/>
          <w:b/>
          <w:i/>
        </w:rPr>
        <w:t xml:space="preserve"> </w:t>
      </w:r>
      <w:r>
        <w:rPr>
          <w:rFonts w:ascii="Arial"/>
          <w:b/>
          <w:i/>
        </w:rPr>
        <w:t>μπορούν</w:t>
      </w:r>
      <w:r>
        <w:rPr>
          <w:rFonts w:ascii="Arial"/>
          <w:b/>
          <w:i/>
        </w:rPr>
        <w:t xml:space="preserve"> </w:t>
      </w:r>
      <w:r>
        <w:rPr>
          <w:rFonts w:ascii="Arial"/>
          <w:b/>
          <w:i/>
        </w:rPr>
        <w:t>να</w:t>
      </w:r>
      <w:r>
        <w:rPr>
          <w:rFonts w:ascii="Arial"/>
          <w:b/>
          <w:i/>
        </w:rPr>
        <w:t xml:space="preserve"> </w:t>
      </w:r>
      <w:r>
        <w:rPr>
          <w:rFonts w:ascii="Arial"/>
          <w:b/>
          <w:i/>
        </w:rPr>
        <w:t>θεωρηθούν</w:t>
      </w:r>
      <w:r>
        <w:rPr>
          <w:rFonts w:ascii="Arial"/>
          <w:b/>
          <w:i/>
        </w:rPr>
        <w:t xml:space="preserve"> </w:t>
      </w:r>
      <w:r>
        <w:rPr>
          <w:rFonts w:ascii="Arial"/>
          <w:b/>
          <w:i/>
        </w:rPr>
        <w:t>ότι</w:t>
      </w:r>
      <w:r>
        <w:rPr>
          <w:rFonts w:ascii="Arial"/>
          <w:b/>
          <w:i/>
        </w:rPr>
        <w:t xml:space="preserve"> </w:t>
      </w:r>
      <w:r>
        <w:rPr>
          <w:rFonts w:ascii="Arial"/>
          <w:b/>
          <w:i/>
        </w:rPr>
        <w:t>αποτελούν</w:t>
      </w:r>
      <w:r>
        <w:rPr>
          <w:rFonts w:ascii="Arial"/>
          <w:b/>
          <w:i/>
        </w:rPr>
        <w:t xml:space="preserve"> </w:t>
      </w:r>
      <w:r>
        <w:rPr>
          <w:rFonts w:ascii="Arial"/>
          <w:b/>
          <w:i/>
        </w:rPr>
        <w:t>αποκλειστικά</w:t>
      </w:r>
      <w:r>
        <w:rPr>
          <w:rFonts w:ascii="Arial"/>
          <w:b/>
          <w:i/>
        </w:rPr>
        <w:t xml:space="preserve"> </w:t>
      </w:r>
      <w:r>
        <w:rPr>
          <w:rFonts w:ascii="Arial"/>
          <w:b/>
          <w:i/>
        </w:rPr>
        <w:t>ΥΓΟΣ</w:t>
      </w:r>
      <w:r>
        <w:rPr>
          <w:rFonts w:ascii="Arial"/>
          <w:b/>
          <w:i/>
        </w:rPr>
        <w:t xml:space="preserve"> (100</w:t>
      </w:r>
      <w:r>
        <w:rPr>
          <w:rFonts w:ascii="Arial"/>
          <w:b/>
          <w:i/>
        </w:rPr>
        <w:t> </w:t>
      </w:r>
      <w:r>
        <w:rPr>
          <w:rFonts w:ascii="Arial"/>
          <w:b/>
          <w:i/>
        </w:rPr>
        <w:t xml:space="preserve">% </w:t>
      </w:r>
      <w:r>
        <w:rPr>
          <w:rFonts w:ascii="Arial"/>
          <w:b/>
          <w:i/>
        </w:rPr>
        <w:t>ΥΓΟΣ</w:t>
      </w:r>
      <w:r>
        <w:rPr>
          <w:rFonts w:ascii="Arial"/>
          <w:b/>
          <w:i/>
        </w:rPr>
        <w:t xml:space="preserve">). </w:t>
      </w:r>
      <w:r>
        <w:t>Αυτό θα μπορούσε να γίνει αποδεκτό σε περιπτώσεις κατά τις οποίες ροές αποβλήτων διαφορετικής προέλευσης διατίθενται σε κάδους που προορίζονται για οικιακά απόβλητα και παρόμοια απόβλητα, τα οποία θα μπορούσαν να περιλαμβάνουν επίσης τα απορρίμματα συσκευασίας (συμπεριλαμβανομένων των αποβλήτων που εμπίπτουν πλήρως ή εν μέρει στα συστήματα διευρυμένης ευθύνης του παραγωγού) και τα εν λόγω απόβλητα συλλέγονται και μεταφέρονται σε συγχωνευμένη/μειωμένη κατάσταση. Ωστόσο, θα πρέπει να αξιολογείται κατά περίπτωση.</w:t>
      </w:r>
    </w:p>
    <w:p w14:paraId="743A5382" w14:textId="77777777" w:rsidR="007B1A84" w:rsidRDefault="002A0261" w:rsidP="003E0C33">
      <w:pPr>
        <w:pStyle w:val="P68B1DB1-a58"/>
        <w:numPr>
          <w:ilvl w:val="0"/>
          <w:numId w:val="37"/>
        </w:numPr>
        <w:tabs>
          <w:tab w:val="left" w:pos="391"/>
          <w:tab w:val="left" w:pos="393"/>
        </w:tabs>
        <w:spacing w:after="120"/>
        <w:ind w:right="419"/>
      </w:pPr>
      <w:r>
        <w:t>Η επεξεργασία βιολογικών αποβλήτων από γραφεία, εστιατόρια, χονδρική πώληση, κυλικεία, επιχειρήσεις εστίασης και καταστήματα λιανικής πώλησης, καθώς και συγκρίσιμα απόβλητα από μονάδες επεξεργασίας τροφίμων μπορεί να συμπεριληφθεί στο πεδίο εφαρμογής μιας ΥΓΟΣ στον βαθμό που η αγορά δεν παρέχει ικανότητες επεξεργασίας βιολογικών αποβλήτων για την εξυπηρέτηση των οικείων επιχειρήσεων. Θα πρέπει να αξιολογείται κατά περίπτωση.</w:t>
      </w:r>
    </w:p>
    <w:p w14:paraId="7CA29610" w14:textId="77777777" w:rsidR="007B1A84" w:rsidRDefault="002A0261" w:rsidP="003E0C33">
      <w:pPr>
        <w:pStyle w:val="P68B1DB1-a58"/>
        <w:numPr>
          <w:ilvl w:val="0"/>
          <w:numId w:val="37"/>
        </w:numPr>
        <w:tabs>
          <w:tab w:val="left" w:pos="391"/>
          <w:tab w:val="left" w:pos="393"/>
        </w:tabs>
        <w:spacing w:after="120"/>
        <w:ind w:right="412"/>
      </w:pPr>
      <w:r>
        <w:t xml:space="preserve">Οι επιχειρήσεις ενδέχεται να μην έχουν επαρκή κίνητρα για την πραγματοποίηση των απαιτούμενων επενδύσεων και την άσκηση δραστηριοτήτων που συνδέονται με την επεξεργασία των αστικών αποβλήτων. Για παράδειγμα, ένας βάσιμος λόγος για τον οποίο η αγορά δεν είναι διατεθειμένη να επενδύσει σε υπηρεσίες θεραπείας στην Ελλάδα μπορεί να είναι υπερβολικά χαμηλά τέλη εισόδου που δεν επαρκούν για την κάλυψη των απαιτούμενων </w:t>
      </w:r>
      <w:r>
        <w:lastRenderedPageBreak/>
        <w:t>επενδυτικών δαπανών και του κόστους επανεπένδυσης. Η ΥΓΟΣ μπορεί να εφαρμοστεί σε περίπτωση που το κράτος έχει ορίσει τέλη που είναι οικονομικά προσιτά για τους πολίτες, αλλά δεν καλύπτει δαπάνες για την ύπαρξη επιχειρηματικής υπόθεσης (προτεινόμενη ως η κατάσταση για τα υπολειμματικά απόβλητα, τα χωριστά συλλεγόμενα βιολογικά απόβλητα και τα χωριστά συλλεγόμενα αστικά ανακυκλώσιμα απόβλητα). Ως εκ τούτου, το κράτος μπορεί να ορίσει την ΥΓΟΣ ώστε ο πάροχος υπηρεσιών να είναι πρόθυμος να παράσχει υπηρεσία έναντι της αντιστάθμισης.</w:t>
      </w:r>
    </w:p>
    <w:p w14:paraId="0463DD20" w14:textId="77777777" w:rsidR="007B1A84" w:rsidRDefault="002A0261" w:rsidP="003E0C33">
      <w:pPr>
        <w:pStyle w:val="P68B1DB1-a58"/>
        <w:numPr>
          <w:ilvl w:val="0"/>
          <w:numId w:val="37"/>
        </w:numPr>
        <w:tabs>
          <w:tab w:val="left" w:pos="391"/>
          <w:tab w:val="left" w:pos="393"/>
        </w:tabs>
        <w:spacing w:after="120"/>
        <w:ind w:right="415"/>
      </w:pPr>
      <w:r>
        <w:t>Τα διαχωρίσιμα απόβλητα που εμπίπτουν σε προγράμματα ΔΕΠ ή η διαχείριση άλλων αποβλήτων που ενδέχεται να αποφέρουν επαρκές κέρδος για να αντιμετωπιστούν από την αγορά δεν θα πρέπει να περιλαμβάνονται στο πεδίο εφαρμογής των ΥΓΟΣ και θα πρέπει να θεωρούνται «άλλες υπηρεσίες» και το ποσοστό των υποδομών του ΜΑΑ που χρησιμοποιούνται για «άλλες υπηρεσίες» δεν μπορεί να καλυφθεί με αντιστάθμιση ΥΓΟΣ.</w:t>
      </w:r>
    </w:p>
    <w:p w14:paraId="194A59F2" w14:textId="77777777" w:rsidR="007B1A84" w:rsidRDefault="007B1A84" w:rsidP="003E0C33">
      <w:pPr>
        <w:pStyle w:val="BodyText"/>
        <w:spacing w:after="120"/>
      </w:pPr>
    </w:p>
    <w:p w14:paraId="546966EA" w14:textId="77777777" w:rsidR="007B1A84" w:rsidRDefault="002A0261" w:rsidP="003E0C33">
      <w:pPr>
        <w:pStyle w:val="Heading5"/>
        <w:numPr>
          <w:ilvl w:val="2"/>
          <w:numId w:val="40"/>
        </w:numPr>
        <w:tabs>
          <w:tab w:val="left" w:pos="745"/>
        </w:tabs>
        <w:spacing w:after="120"/>
        <w:ind w:left="745" w:hanging="720"/>
      </w:pPr>
      <w:bookmarkStart w:id="14" w:name="_bookmark25"/>
      <w:bookmarkEnd w:id="14"/>
      <w:r>
        <w:t>Ανάθεση ΥΓΟΣ</w:t>
      </w:r>
    </w:p>
    <w:p w14:paraId="78372498" w14:textId="048D853E" w:rsidR="007B1A84" w:rsidRDefault="002A0261" w:rsidP="006F780E">
      <w:pPr>
        <w:pStyle w:val="P68B1DB1-a58"/>
        <w:numPr>
          <w:ilvl w:val="0"/>
          <w:numId w:val="37"/>
        </w:numPr>
        <w:tabs>
          <w:tab w:val="left" w:pos="391"/>
          <w:tab w:val="left" w:pos="393"/>
        </w:tabs>
        <w:spacing w:after="120"/>
        <w:ind w:right="409"/>
      </w:pPr>
      <w:r>
        <w:t>Το δίκαιο της ΕΕ δεν ρυθμίζει τον τρόπο με τον οποίο τα κράτη μέλη αναθέτουν ΥΓΟΣ, αλλά προβλέπει μόνο απαιτήσεις που περιλαμβάνονται σε κάθε πράξη ανάθεσης ΥΓΟΣ. Η Ε</w:t>
      </w:r>
      <w:r w:rsidR="000C72D0" w:rsidRPr="000C72D0">
        <w:rPr>
          <w:lang w:val="el-GR"/>
        </w:rPr>
        <w:t>Ε</w:t>
      </w:r>
      <w:r>
        <w:t xml:space="preserve">διευκρίνισε ότι </w:t>
      </w:r>
      <w:r>
        <w:rPr>
          <w:rFonts w:ascii="Arial" w:hAnsi="Arial"/>
          <w:i/>
        </w:rPr>
        <w:t xml:space="preserve">«η ανάθεση δημόσιας υπηρεσίας είναι απαραίτητη για τον καθορισμό των υποχρεώσεων της επιχείρησης και του κράτους. </w:t>
      </w:r>
      <w:r w:rsidRPr="000C72D0">
        <w:rPr>
          <w:rFonts w:ascii="Arial" w:hAnsi="Arial"/>
          <w:iCs/>
        </w:rPr>
        <w:t>Σε</w:t>
      </w:r>
      <w:r w:rsidR="000C72D0" w:rsidRPr="000C72D0">
        <w:rPr>
          <w:rFonts w:ascii="Arial" w:hAnsi="Arial"/>
          <w:iCs/>
          <w:lang w:val="el-GR"/>
        </w:rPr>
        <w:t xml:space="preserve"> </w:t>
      </w:r>
      <w:r w:rsidRPr="000C72D0">
        <w:rPr>
          <w:iCs/>
        </w:rPr>
        <w:t>απουσία μιας τέτοιας πράξης, η συγκεκριμένη αποστολή της επιχείρησης είναι άγνωστη και δεν μπορεί να προσδιοριστεί δίκαιη αποζημίωση</w:t>
      </w:r>
      <w:hyperlink w:anchor="_bookmark28" w:history="1">
        <w:r>
          <w:t>.»</w:t>
        </w:r>
        <w:r w:rsidR="000C72D0">
          <w:rPr>
            <w:rStyle w:val="FootnoteReference"/>
          </w:rPr>
          <w:footnoteReference w:id="19"/>
        </w:r>
      </w:hyperlink>
    </w:p>
    <w:p w14:paraId="7683CC35" w14:textId="77777777" w:rsidR="007B1A84" w:rsidRDefault="002A0261" w:rsidP="003E0C33">
      <w:pPr>
        <w:pStyle w:val="P68B1DB1-a58"/>
        <w:numPr>
          <w:ilvl w:val="0"/>
          <w:numId w:val="37"/>
        </w:numPr>
        <w:tabs>
          <w:tab w:val="left" w:pos="391"/>
          <w:tab w:val="left" w:pos="393"/>
        </w:tabs>
        <w:spacing w:after="120"/>
        <w:ind w:right="408"/>
      </w:pPr>
      <w:r>
        <w:t>Η αποστολή δημόσιας υπηρεσίας πρέπει να ανατίθεται με πράξη η οποία, ανάλογα με τη νομοθεσία των κρατών μελών, μπορεί να λάβει τη μορφή νομοθετικής πράξης, κανονιστικής πράξης, σύμβασης ή, σε περίπτωση επιχορήγησης, η συμφωνία χρηματοδότησης μπορεί να θεωρηθεί πράξη ανάθεσης ΥΓΟΣ. Η ανάθεση ΥΓΟΣ μπορεί επίσης να προβλέπεται σε διάφορες πράξεις.</w:t>
      </w:r>
    </w:p>
    <w:p w14:paraId="393E0A29" w14:textId="2B5D6C31" w:rsidR="007B1A84" w:rsidRDefault="002A0261" w:rsidP="003E0C33">
      <w:pPr>
        <w:pStyle w:val="P68B1DB1-a58"/>
        <w:numPr>
          <w:ilvl w:val="0"/>
          <w:numId w:val="37"/>
        </w:numPr>
        <w:tabs>
          <w:tab w:val="left" w:pos="391"/>
          <w:tab w:val="left" w:pos="393"/>
        </w:tabs>
        <w:spacing w:after="120"/>
        <w:ind w:right="408"/>
      </w:pPr>
      <w:r>
        <w:t>Η δημόσια αρχή που αναθέτει στον πάροχο την ΥΓΟΣ πρέπει να διασφαλίζει την τήρηση των κανόνων περί κρατικών ενισχύσεων. Οι προϋποθέσεις που απαιτούνται για να εξασφαλιστεί ότι η αντιστάθμιση ΥΓΟΣ χορηγείται σύμφωνα με τους κανόνες για τις κρατικές ενισχύσεις θα πρέπει να αντικατοπτρίζονται στην πράξη ανάθεσης, έτσι ώστε ο πάροχος ΥΓΟΣ να έχει πλήρη επίγνωση των εν λόγω όρων.</w:t>
      </w:r>
      <w:r w:rsidR="00ED5D37">
        <w:rPr>
          <w:rStyle w:val="FootnoteReference"/>
        </w:rPr>
        <w:footnoteReference w:id="20"/>
      </w:r>
      <w:r>
        <w:t xml:space="preserve"> Το παράρτημα 2 παρέχει καθοδήγηση σχετικά με τον τρόπο με τον οποίο μπορεί να διασφαλιστεί ότι ο πραγματικός πάροχος ΥΓΟΣ ενημερώνεται σχετικά με τον χαρακτήρα ΥΓΟΣ της σχετικής υπηρεσίας και άλλες σχετικές πτυχές που συνδέονται με την εκτέλεση της υπηρεσίας (συμπεριλαμβανομένης της αντιστάθμισης), όταν η ανάθεση ΥΓΟΣ ορίζεται στο επίπεδο του ιδιοκτήτη της υποδομής και η παροχή της ΥΓΟΣ μεταβιβάζεται αργότερα σε τρίτο φορέα εκμετάλλευσης.</w:t>
      </w:r>
    </w:p>
    <w:p w14:paraId="1C1898F2" w14:textId="77777777" w:rsidR="007B1A84" w:rsidRDefault="002A0261" w:rsidP="003E0C33">
      <w:pPr>
        <w:pStyle w:val="P68B1DB1-a58"/>
        <w:numPr>
          <w:ilvl w:val="0"/>
          <w:numId w:val="37"/>
        </w:numPr>
        <w:tabs>
          <w:tab w:val="left" w:pos="392"/>
        </w:tabs>
        <w:spacing w:after="120"/>
        <w:ind w:left="392" w:hanging="367"/>
      </w:pPr>
      <w:r>
        <w:t>Η ανάθεση ΥΓΟΣ μπορεί να ανατεθεί:</w:t>
      </w:r>
    </w:p>
    <w:p w14:paraId="76B02B6A" w14:textId="77777777" w:rsidR="007B1A84" w:rsidRDefault="002A0261" w:rsidP="003E0C33">
      <w:pPr>
        <w:pStyle w:val="P68B1DB1-a58"/>
        <w:numPr>
          <w:ilvl w:val="1"/>
          <w:numId w:val="37"/>
        </w:numPr>
        <w:tabs>
          <w:tab w:val="left" w:pos="1114"/>
        </w:tabs>
        <w:spacing w:after="120"/>
        <w:ind w:left="1114" w:hanging="368"/>
      </w:pPr>
      <w:r>
        <w:t>Απευθείας σύμφωνα με τις σχετικές εθνικές νομικές πράξεις· είτε</w:t>
      </w:r>
    </w:p>
    <w:p w14:paraId="5F7E87DA" w14:textId="77777777" w:rsidR="007B1A84" w:rsidRDefault="002A0261" w:rsidP="003E0C33">
      <w:pPr>
        <w:pStyle w:val="P68B1DB1-a58"/>
        <w:numPr>
          <w:ilvl w:val="1"/>
          <w:numId w:val="37"/>
        </w:numPr>
        <w:tabs>
          <w:tab w:val="left" w:pos="1114"/>
        </w:tabs>
        <w:spacing w:after="120"/>
        <w:ind w:left="1114" w:right="421" w:hanging="369"/>
      </w:pPr>
      <w:r>
        <w:t>Βάσει ανοικτής, διαφανούς και αμερόληπτης διαδικασίας σύναψης δημόσιων συμβάσεων σύμφωνα με τους ισχύοντες κανόνες της ΕΕ.</w:t>
      </w:r>
    </w:p>
    <w:p w14:paraId="142EAA43" w14:textId="77777777" w:rsidR="007B1A84" w:rsidRDefault="002A0261" w:rsidP="003E0C33">
      <w:pPr>
        <w:pStyle w:val="P68B1DB1-a58"/>
        <w:numPr>
          <w:ilvl w:val="0"/>
          <w:numId w:val="37"/>
        </w:numPr>
        <w:tabs>
          <w:tab w:val="left" w:pos="391"/>
          <w:tab w:val="left" w:pos="393"/>
        </w:tabs>
        <w:spacing w:after="120"/>
        <w:ind w:right="441"/>
      </w:pPr>
      <w:r>
        <w:t>Η διαδικασία ανάθεσης ΥΓΟΣ μπορεί να διαφέρει ανάλογα με το ισχύον νομικό πλαίσιο για τις ΥΓΟΣ. Οι πληροφορίες συνοψίζονται στον πίνακα 3.</w:t>
      </w:r>
    </w:p>
    <w:p w14:paraId="5D468DAD" w14:textId="77777777" w:rsidR="007B1A84" w:rsidRDefault="007B1A84" w:rsidP="003E0C33">
      <w:pPr>
        <w:pStyle w:val="BodyText"/>
        <w:spacing w:after="120"/>
        <w:rPr>
          <w:lang w:val="el-GR"/>
        </w:rPr>
      </w:pPr>
    </w:p>
    <w:p w14:paraId="0921E667" w14:textId="77777777" w:rsidR="00ED5D37" w:rsidRDefault="00ED5D37" w:rsidP="003E0C33">
      <w:pPr>
        <w:pStyle w:val="BodyText"/>
        <w:spacing w:after="120"/>
        <w:rPr>
          <w:lang w:val="el-GR"/>
        </w:rPr>
      </w:pPr>
    </w:p>
    <w:p w14:paraId="6C77C307" w14:textId="77777777" w:rsidR="00ED5D37" w:rsidRDefault="00ED5D37" w:rsidP="003E0C33">
      <w:pPr>
        <w:pStyle w:val="BodyText"/>
        <w:spacing w:after="120"/>
        <w:rPr>
          <w:lang w:val="el-GR"/>
        </w:rPr>
      </w:pPr>
    </w:p>
    <w:p w14:paraId="13B24EAD" w14:textId="77777777" w:rsidR="00ED5D37" w:rsidRPr="00ED5D37" w:rsidRDefault="00ED5D37" w:rsidP="003E0C33">
      <w:pPr>
        <w:pStyle w:val="BodyText"/>
        <w:spacing w:after="120"/>
        <w:rPr>
          <w:lang w:val="el-GR"/>
        </w:rPr>
      </w:pPr>
    </w:p>
    <w:p w14:paraId="76B60EAB" w14:textId="77777777" w:rsidR="007B1A84" w:rsidRDefault="002A0261" w:rsidP="003E0C33">
      <w:pPr>
        <w:pStyle w:val="P68B1DB1-a12"/>
        <w:spacing w:after="120"/>
        <w:ind w:left="25"/>
      </w:pPr>
      <w:r>
        <w:lastRenderedPageBreak/>
        <w:t>Πίνακας</w:t>
      </w:r>
      <w:r>
        <w:t xml:space="preserve"> 3: </w:t>
      </w:r>
      <w:r>
        <w:t>Εφαρμοστέες</w:t>
      </w:r>
      <w:r>
        <w:t xml:space="preserve"> </w:t>
      </w:r>
      <w:r>
        <w:t>διαδικασίες</w:t>
      </w:r>
      <w:r>
        <w:t xml:space="preserve"> </w:t>
      </w:r>
      <w:r>
        <w:t>ανάθεσης</w:t>
      </w:r>
      <w:r>
        <w:t xml:space="preserve"> </w:t>
      </w:r>
      <w:r>
        <w:t>ΥΓΟΣ</w:t>
      </w:r>
    </w:p>
    <w:tbl>
      <w:tblPr>
        <w:tblStyle w:val="TableNormal1"/>
        <w:tblW w:w="0" w:type="auto"/>
        <w:tblInd w:w="-10" w:type="dxa"/>
        <w:tblBorders>
          <w:top w:val="single" w:sz="8" w:space="0" w:color="B6DDE8"/>
          <w:left w:val="single" w:sz="8" w:space="0" w:color="B6DDE8"/>
          <w:bottom w:val="single" w:sz="8" w:space="0" w:color="B6DDE8"/>
          <w:right w:val="single" w:sz="8" w:space="0" w:color="B6DDE8"/>
          <w:insideH w:val="single" w:sz="8" w:space="0" w:color="B6DDE8"/>
          <w:insideV w:val="single" w:sz="8" w:space="0" w:color="B6DDE8"/>
        </w:tblBorders>
        <w:tblLayout w:type="fixed"/>
        <w:tblLook w:val="01E0" w:firstRow="1" w:lastRow="1" w:firstColumn="1" w:lastColumn="1" w:noHBand="0" w:noVBand="0"/>
      </w:tblPr>
      <w:tblGrid>
        <w:gridCol w:w="1743"/>
        <w:gridCol w:w="7379"/>
      </w:tblGrid>
      <w:tr w:rsidR="007B1A84" w14:paraId="1CFEF2F8" w14:textId="77777777" w:rsidTr="00ED5D37">
        <w:trPr>
          <w:trHeight w:val="316"/>
        </w:trPr>
        <w:tc>
          <w:tcPr>
            <w:tcW w:w="1743" w:type="dxa"/>
            <w:tcBorders>
              <w:bottom w:val="single" w:sz="8" w:space="0" w:color="92CDDC"/>
            </w:tcBorders>
            <w:shd w:val="clear" w:color="auto" w:fill="F9BE8F"/>
          </w:tcPr>
          <w:p w14:paraId="43D1F858" w14:textId="77777777" w:rsidR="007B1A84" w:rsidRDefault="002A0261" w:rsidP="003E0C33">
            <w:pPr>
              <w:pStyle w:val="P68B1DB1-TableParagraph15"/>
              <w:spacing w:after="120"/>
              <w:ind w:left="118"/>
            </w:pPr>
            <w:r>
              <w:t>Νομική</w:t>
            </w:r>
            <w:r>
              <w:t xml:space="preserve"> </w:t>
            </w:r>
            <w:r>
              <w:t>βάση</w:t>
            </w:r>
          </w:p>
        </w:tc>
        <w:tc>
          <w:tcPr>
            <w:tcW w:w="7379" w:type="dxa"/>
            <w:tcBorders>
              <w:bottom w:val="single" w:sz="8" w:space="0" w:color="92CDDC"/>
            </w:tcBorders>
            <w:shd w:val="clear" w:color="auto" w:fill="F9BE8F"/>
          </w:tcPr>
          <w:p w14:paraId="69312255" w14:textId="77777777" w:rsidR="007B1A84" w:rsidRDefault="002A0261" w:rsidP="003E0C33">
            <w:pPr>
              <w:pStyle w:val="P68B1DB1-TableParagraph15"/>
              <w:spacing w:after="120"/>
              <w:ind w:left="111"/>
            </w:pPr>
            <w:r>
              <w:t>Εφαρμοστέα</w:t>
            </w:r>
            <w:r>
              <w:t xml:space="preserve"> </w:t>
            </w:r>
            <w:r>
              <w:t>διαδικασία</w:t>
            </w:r>
            <w:r>
              <w:t xml:space="preserve"> </w:t>
            </w:r>
            <w:r>
              <w:t>ανάθεσης</w:t>
            </w:r>
          </w:p>
        </w:tc>
      </w:tr>
      <w:tr w:rsidR="007B1A84" w14:paraId="7F2C89A7" w14:textId="77777777" w:rsidTr="00ED5D37">
        <w:trPr>
          <w:trHeight w:val="748"/>
        </w:trPr>
        <w:tc>
          <w:tcPr>
            <w:tcW w:w="1743" w:type="dxa"/>
            <w:vMerge w:val="restart"/>
            <w:tcBorders>
              <w:top w:val="single" w:sz="8" w:space="0" w:color="92CDDC"/>
            </w:tcBorders>
          </w:tcPr>
          <w:p w14:paraId="7BBBD0A2" w14:textId="77777777" w:rsidR="007B1A84" w:rsidRDefault="007B1A84" w:rsidP="003E0C33">
            <w:pPr>
              <w:pStyle w:val="TableParagraph"/>
              <w:spacing w:after="120"/>
              <w:rPr>
                <w:rFonts w:ascii="Arial"/>
                <w:b/>
                <w:sz w:val="17"/>
              </w:rPr>
            </w:pPr>
          </w:p>
          <w:p w14:paraId="6F3FCE0F" w14:textId="77777777" w:rsidR="007B1A84" w:rsidRDefault="007B1A84" w:rsidP="003E0C33">
            <w:pPr>
              <w:pStyle w:val="TableParagraph"/>
              <w:spacing w:after="120"/>
              <w:rPr>
                <w:rFonts w:ascii="Arial"/>
                <w:b/>
                <w:sz w:val="17"/>
              </w:rPr>
            </w:pPr>
          </w:p>
          <w:p w14:paraId="7DD11559" w14:textId="77777777" w:rsidR="007B1A84" w:rsidRDefault="007B1A84" w:rsidP="003E0C33">
            <w:pPr>
              <w:pStyle w:val="TableParagraph"/>
              <w:spacing w:after="120"/>
              <w:rPr>
                <w:rFonts w:ascii="Arial"/>
                <w:b/>
                <w:sz w:val="17"/>
              </w:rPr>
            </w:pPr>
          </w:p>
          <w:p w14:paraId="592CF9EE" w14:textId="77777777" w:rsidR="007B1A84" w:rsidRDefault="007B1A84" w:rsidP="003E0C33">
            <w:pPr>
              <w:pStyle w:val="TableParagraph"/>
              <w:spacing w:after="120"/>
              <w:rPr>
                <w:rFonts w:ascii="Arial"/>
                <w:b/>
                <w:sz w:val="17"/>
              </w:rPr>
            </w:pPr>
          </w:p>
          <w:p w14:paraId="2D7D1061" w14:textId="77777777" w:rsidR="007B1A84" w:rsidRDefault="002A0261" w:rsidP="003E0C33">
            <w:pPr>
              <w:pStyle w:val="P68B1DB1-TableParagraph15"/>
              <w:spacing w:after="120"/>
              <w:ind w:left="118" w:right="47"/>
            </w:pPr>
            <w:r>
              <w:t>Απόφαση</w:t>
            </w:r>
            <w:r>
              <w:t xml:space="preserve"> Altmark</w:t>
            </w:r>
          </w:p>
        </w:tc>
        <w:tc>
          <w:tcPr>
            <w:tcW w:w="7379" w:type="dxa"/>
            <w:tcBorders>
              <w:top w:val="single" w:sz="8" w:space="0" w:color="92CDDC"/>
            </w:tcBorders>
          </w:tcPr>
          <w:p w14:paraId="31EA28D0" w14:textId="77777777" w:rsidR="007B1A84" w:rsidRDefault="002A0261" w:rsidP="003E0C33">
            <w:pPr>
              <w:pStyle w:val="P68B1DB1-TableParagraph13"/>
              <w:spacing w:after="120"/>
              <w:ind w:left="111" w:right="101"/>
              <w:jc w:val="both"/>
            </w:pPr>
            <w:r>
              <w:t>Η ανάθεση χορηγείται με βάση τη διαδικασία σύναψης δημόσιων συμβάσεων προκειμένου να διασφαλιστεί ότι επιλέγεται ο πάροχος ΥΓΟΣ με τα περισσότερα πλεονεκτήματα (λιγότερο δαπανηρό για την κοινότητα για να καταλήξει στο συμπέρασμα ότι αποκλείεται η ύπαρξη κρατικής ενίσχυσης (αναφερόμενο κριτήριο Altmark).</w:t>
            </w:r>
          </w:p>
        </w:tc>
      </w:tr>
      <w:tr w:rsidR="007B1A84" w14:paraId="1D8E2057" w14:textId="77777777" w:rsidTr="00ED5D37">
        <w:trPr>
          <w:trHeight w:val="1197"/>
        </w:trPr>
        <w:tc>
          <w:tcPr>
            <w:tcW w:w="1743" w:type="dxa"/>
            <w:vMerge/>
            <w:tcBorders>
              <w:top w:val="nil"/>
            </w:tcBorders>
          </w:tcPr>
          <w:p w14:paraId="6AA9C08E" w14:textId="77777777" w:rsidR="007B1A84" w:rsidRDefault="007B1A84" w:rsidP="003E0C33">
            <w:pPr>
              <w:spacing w:after="120"/>
              <w:rPr>
                <w:sz w:val="2"/>
              </w:rPr>
            </w:pPr>
          </w:p>
        </w:tc>
        <w:tc>
          <w:tcPr>
            <w:tcW w:w="7379" w:type="dxa"/>
          </w:tcPr>
          <w:p w14:paraId="0D4CEF37" w14:textId="77777777" w:rsidR="007B1A84" w:rsidRDefault="002A0261" w:rsidP="003E0C33">
            <w:pPr>
              <w:pStyle w:val="P68B1DB1-TableParagraph13"/>
              <w:spacing w:after="120"/>
              <w:ind w:left="111" w:right="100"/>
              <w:jc w:val="both"/>
            </w:pPr>
            <w:r>
              <w:t>Η άμεση χορήγηση είναι δυνατή και η κρατική ενίσχυση εξακολουθεί να αποκλείεται, εάν το απαιτούμενο ποσό αντιστάθμισης δικαιολογείται σε σύγκριση με το κόστος της μέσης και της χρηστής επιχείρησης, με τον κατάλληλο εξοπλισμό που απαιτείται για την εκπλήρωση των απαιτήσεων παροχής δημόσιας υπηρεσίας.</w:t>
            </w:r>
          </w:p>
          <w:p w14:paraId="5B81CC79" w14:textId="4908A378" w:rsidR="007B1A84" w:rsidRDefault="002A0261" w:rsidP="003E0C33">
            <w:pPr>
              <w:pStyle w:val="TableParagraph"/>
              <w:spacing w:after="120"/>
              <w:ind w:left="111" w:right="93"/>
              <w:jc w:val="both"/>
              <w:rPr>
                <w:sz w:val="17"/>
              </w:rPr>
            </w:pPr>
            <w:r>
              <w:rPr>
                <w:sz w:val="17"/>
              </w:rPr>
              <w:t xml:space="preserve">Στην πράξη, είναι δύσκολο να αποδειχθεί η συμμόρφωση με τις απαιτήσεις της αγοράς σε περίπτωση απευθείας ανάθεσης ΥΓΟΣ </w:t>
            </w:r>
            <w:hyperlink w:anchor="_bookmark30" w:history="1">
              <w:r w:rsidR="00ED5D37">
                <w:rPr>
                  <w:rStyle w:val="FootnoteReference"/>
                  <w:sz w:val="17"/>
                </w:rPr>
                <w:footnoteReference w:id="21"/>
              </w:r>
              <w:r>
                <w:rPr>
                  <w:sz w:val="17"/>
                </w:rPr>
                <w:t>.</w:t>
              </w:r>
            </w:hyperlink>
          </w:p>
        </w:tc>
      </w:tr>
      <w:tr w:rsidR="007B1A84" w14:paraId="600B982E" w14:textId="77777777" w:rsidTr="00ED5D37">
        <w:trPr>
          <w:trHeight w:val="315"/>
        </w:trPr>
        <w:tc>
          <w:tcPr>
            <w:tcW w:w="1743" w:type="dxa"/>
            <w:vMerge w:val="restart"/>
          </w:tcPr>
          <w:p w14:paraId="707B7009" w14:textId="77777777" w:rsidR="007B1A84" w:rsidRDefault="007B1A84" w:rsidP="003E0C33">
            <w:pPr>
              <w:pStyle w:val="TableParagraph"/>
              <w:spacing w:after="120"/>
              <w:rPr>
                <w:rFonts w:ascii="Arial"/>
                <w:b/>
                <w:sz w:val="17"/>
              </w:rPr>
            </w:pPr>
          </w:p>
          <w:p w14:paraId="4A85FF95" w14:textId="77777777" w:rsidR="007B1A84" w:rsidRDefault="002A0261" w:rsidP="003E0C33">
            <w:pPr>
              <w:pStyle w:val="P68B1DB1-TableParagraph15"/>
              <w:spacing w:after="120"/>
              <w:ind w:left="118"/>
            </w:pPr>
            <w:r>
              <w:t>Απόφαση</w:t>
            </w:r>
            <w:r>
              <w:t xml:space="preserve"> </w:t>
            </w:r>
            <w:r>
              <w:t>ΥΓΟΣ</w:t>
            </w:r>
          </w:p>
        </w:tc>
        <w:tc>
          <w:tcPr>
            <w:tcW w:w="7379" w:type="dxa"/>
          </w:tcPr>
          <w:p w14:paraId="11AAC9C7" w14:textId="77777777" w:rsidR="007B1A84" w:rsidRDefault="002A0261" w:rsidP="003E0C33">
            <w:pPr>
              <w:pStyle w:val="P68B1DB1-TableParagraph13"/>
              <w:spacing w:after="120"/>
              <w:ind w:left="111"/>
            </w:pPr>
            <w:r>
              <w:t>Η ανάθεση μπορεί να χορηγείται απευθείας σύμφωνα με τις σχετικές εθνικές νομικές πράξεις.</w:t>
            </w:r>
          </w:p>
        </w:tc>
      </w:tr>
      <w:tr w:rsidR="007B1A84" w14:paraId="258BEDBF" w14:textId="77777777" w:rsidTr="00ED5D37">
        <w:trPr>
          <w:trHeight w:val="524"/>
        </w:trPr>
        <w:tc>
          <w:tcPr>
            <w:tcW w:w="1743" w:type="dxa"/>
            <w:vMerge/>
            <w:tcBorders>
              <w:top w:val="nil"/>
            </w:tcBorders>
          </w:tcPr>
          <w:p w14:paraId="37DA0217" w14:textId="77777777" w:rsidR="007B1A84" w:rsidRDefault="007B1A84" w:rsidP="003E0C33">
            <w:pPr>
              <w:spacing w:after="120"/>
              <w:rPr>
                <w:sz w:val="2"/>
              </w:rPr>
            </w:pPr>
          </w:p>
        </w:tc>
        <w:tc>
          <w:tcPr>
            <w:tcW w:w="7379" w:type="dxa"/>
          </w:tcPr>
          <w:p w14:paraId="418EFCFB" w14:textId="77777777" w:rsidR="007B1A84" w:rsidRDefault="002A0261" w:rsidP="003E0C33">
            <w:pPr>
              <w:pStyle w:val="P68B1DB1-TableParagraph13"/>
              <w:spacing w:after="120"/>
              <w:ind w:left="111"/>
            </w:pPr>
            <w:r>
              <w:t>Η ανάθεση μπορεί να χορηγείται βάσει ανοικτής, διαφανούς και αμερόληπτης διαδικασίας σύναψης δημόσιων συμβάσεων σύμφωνα με τους ισχύοντες κανόνες της ΕΕ.</w:t>
            </w:r>
          </w:p>
        </w:tc>
      </w:tr>
      <w:tr w:rsidR="007B1A84" w14:paraId="6DACCC9D" w14:textId="77777777" w:rsidTr="00ED5D37">
        <w:trPr>
          <w:trHeight w:val="524"/>
        </w:trPr>
        <w:tc>
          <w:tcPr>
            <w:tcW w:w="1743" w:type="dxa"/>
            <w:vMerge w:val="restart"/>
          </w:tcPr>
          <w:p w14:paraId="042C7396" w14:textId="77777777" w:rsidR="007B1A84" w:rsidRDefault="007B1A84" w:rsidP="003E0C33">
            <w:pPr>
              <w:pStyle w:val="TableParagraph"/>
              <w:spacing w:after="120"/>
              <w:rPr>
                <w:rFonts w:ascii="Arial"/>
                <w:b/>
                <w:sz w:val="17"/>
              </w:rPr>
            </w:pPr>
          </w:p>
          <w:p w14:paraId="385AE1A3" w14:textId="77777777" w:rsidR="007B1A84" w:rsidRDefault="007B1A84" w:rsidP="003E0C33">
            <w:pPr>
              <w:pStyle w:val="TableParagraph"/>
              <w:spacing w:after="120"/>
              <w:rPr>
                <w:rFonts w:ascii="Arial"/>
                <w:b/>
                <w:sz w:val="17"/>
              </w:rPr>
            </w:pPr>
          </w:p>
          <w:p w14:paraId="118F0123" w14:textId="77777777" w:rsidR="007B1A84" w:rsidRDefault="007B1A84" w:rsidP="003E0C33">
            <w:pPr>
              <w:pStyle w:val="TableParagraph"/>
              <w:spacing w:after="120"/>
              <w:rPr>
                <w:rFonts w:ascii="Arial"/>
                <w:b/>
                <w:sz w:val="17"/>
              </w:rPr>
            </w:pPr>
          </w:p>
          <w:p w14:paraId="362B43CD" w14:textId="77777777" w:rsidR="007B1A84" w:rsidRDefault="007B1A84" w:rsidP="003E0C33">
            <w:pPr>
              <w:pStyle w:val="TableParagraph"/>
              <w:spacing w:after="120"/>
              <w:rPr>
                <w:rFonts w:ascii="Arial"/>
                <w:b/>
                <w:sz w:val="17"/>
              </w:rPr>
            </w:pPr>
          </w:p>
          <w:p w14:paraId="34D4F022" w14:textId="77777777" w:rsidR="007B1A84" w:rsidRDefault="007B1A84" w:rsidP="003E0C33">
            <w:pPr>
              <w:pStyle w:val="TableParagraph"/>
              <w:spacing w:after="120"/>
              <w:rPr>
                <w:rFonts w:ascii="Arial"/>
                <w:b/>
                <w:sz w:val="17"/>
              </w:rPr>
            </w:pPr>
          </w:p>
          <w:p w14:paraId="680D07F7" w14:textId="77777777" w:rsidR="007B1A84" w:rsidRDefault="002A0261" w:rsidP="003E0C33">
            <w:pPr>
              <w:pStyle w:val="P68B1DB1-TableParagraph15"/>
              <w:spacing w:after="120"/>
              <w:ind w:left="118"/>
            </w:pPr>
            <w:r>
              <w:t>Πλαίσιο</w:t>
            </w:r>
            <w:r>
              <w:t xml:space="preserve"> </w:t>
            </w:r>
            <w:r>
              <w:t>ΥΓΟΣ</w:t>
            </w:r>
          </w:p>
        </w:tc>
        <w:tc>
          <w:tcPr>
            <w:tcW w:w="7379" w:type="dxa"/>
          </w:tcPr>
          <w:p w14:paraId="56F770BC" w14:textId="77777777" w:rsidR="007B1A84" w:rsidRDefault="002A0261" w:rsidP="003E0C33">
            <w:pPr>
              <w:pStyle w:val="P68B1DB1-TableParagraph13"/>
              <w:spacing w:after="120"/>
              <w:ind w:left="111"/>
            </w:pPr>
            <w:r>
              <w:t>Η ανάθεση θα πρέπει, κατ’ αρχήν, να χορηγείται βάσει ανοικτής, διαφανούς και αμερόληπτης διαδικασίας σύναψης δημόσιων συμβάσεων σύμφωνα με τους ισχύοντες κανόνες της ΕΕ.</w:t>
            </w:r>
          </w:p>
        </w:tc>
      </w:tr>
      <w:tr w:rsidR="007B1A84" w14:paraId="66864CC0" w14:textId="77777777" w:rsidTr="00ED5D37">
        <w:trPr>
          <w:trHeight w:val="1773"/>
        </w:trPr>
        <w:tc>
          <w:tcPr>
            <w:tcW w:w="1743" w:type="dxa"/>
            <w:vMerge/>
            <w:tcBorders>
              <w:top w:val="nil"/>
            </w:tcBorders>
          </w:tcPr>
          <w:p w14:paraId="19328797" w14:textId="77777777" w:rsidR="007B1A84" w:rsidRDefault="007B1A84" w:rsidP="003E0C33">
            <w:pPr>
              <w:spacing w:after="120"/>
              <w:rPr>
                <w:sz w:val="2"/>
              </w:rPr>
            </w:pPr>
          </w:p>
        </w:tc>
        <w:tc>
          <w:tcPr>
            <w:tcW w:w="7379" w:type="dxa"/>
          </w:tcPr>
          <w:p w14:paraId="42887CB4" w14:textId="5C0A8B9A" w:rsidR="007B1A84" w:rsidRDefault="002A0261" w:rsidP="003E0C33">
            <w:pPr>
              <w:pStyle w:val="P68B1DB1-TableParagraph13"/>
              <w:spacing w:after="120"/>
              <w:ind w:left="111" w:right="92"/>
              <w:jc w:val="both"/>
            </w:pPr>
            <w:r>
              <w:t xml:space="preserve">Η απόφαση της ΕΚ στην υπόθεση κρατικής ενίσχυσης SA.106193 </w:t>
            </w:r>
            <w:hyperlink r:id="rId16">
              <w:r>
                <w:rPr>
                  <w:color w:val="002E67"/>
                  <w:u w:val="single" w:color="002E67"/>
                </w:rPr>
                <w:t>προβλέπει</w:t>
              </w:r>
            </w:hyperlink>
            <w:r>
              <w:rPr>
                <w:color w:val="002E67"/>
              </w:rPr>
              <w:t xml:space="preserve"> </w:t>
            </w:r>
            <w:r>
              <w:t>ότι κατ’ εξαίρεση η παραχώρηση για τη λειτουργία ΥΓΟΣ μπορεί να ανατεθεί χωρίς τη διοργάνωση ανοικτής διαδικασίας (άμεση ανάθεση), όταν οι υπηρεσίες μπορούν να παρασχεθούν μόνο από συγκεκριμένο οικονομικό φορέα λόγω της ύπαρξης αποκλειστικού δικαιώματος, υπό την προϋπόθεση ότι δεν υπάρχει εύλογη εναλλακτική λύση ή υποκατάστατο, και ότι η απουσία ανταγωνισμού δεν είναι αποτέλεσμα τεχνητού περιορισμού των παραμέτρων της ανάθεσης της σύμβασης παραχώρησης (άρθρο 80 της απόφασης ΕΚ).</w:t>
            </w:r>
          </w:p>
          <w:p w14:paraId="0924DEDC" w14:textId="7D824466" w:rsidR="007B1A84" w:rsidRPr="002576CD" w:rsidRDefault="002A0261" w:rsidP="002576CD">
            <w:pPr>
              <w:pStyle w:val="P68B1DB1-TableParagraph13"/>
              <w:spacing w:after="120"/>
              <w:ind w:left="111" w:right="92"/>
              <w:jc w:val="both"/>
              <w:rPr>
                <w:lang w:val="el-GR"/>
              </w:rPr>
            </w:pPr>
            <w:r>
              <w:t xml:space="preserve">Η απόφαση της ΕΚ στην υπόθεση κρατικής ενίσχυσης SA.55270 </w:t>
            </w:r>
            <w:hyperlink r:id="rId17">
              <w:r w:rsidRPr="002576CD">
                <w:t>προέβλεπε</w:t>
              </w:r>
            </w:hyperlink>
            <w:r w:rsidRPr="002576CD">
              <w:t xml:space="preserve"> </w:t>
            </w:r>
            <w:r>
              <w:t>ότι, σύμφωνα με την οδηγία για τις ταχυδρομικές υπηρεσίες, τα κράτη μέλη έχουν τη διακριτική ευχέρεια να ορίζουν διά νόμου τον φορέα εκμετάλλευσης σύμφωνα με το άρθρο 7 παράγραφος 2</w:t>
            </w:r>
            <w:r w:rsidR="002576CD">
              <w:t xml:space="preserve"> </w:t>
            </w:r>
            <w:r w:rsidR="002576CD">
              <w:t>όσον αφορά την υποχρέωση παροχής καθολικής ταχυδρομικής υπηρεσίας και, ως εκ τούτου, το κράτος μέλος δεν υποχρεούται να διοργανώσει διαγωνισμό για την επιλογή του (άρθρο 73 του διατάγματος</w:t>
            </w:r>
            <w:hyperlink w:anchor="_bookmark32" w:history="1">
              <w:r w:rsidR="002576CD">
                <w:t>ΕΚ)</w:t>
              </w:r>
            </w:hyperlink>
            <w:r w:rsidR="002576CD">
              <w:t>.</w:t>
            </w:r>
            <w:r w:rsidR="002576CD">
              <w:rPr>
                <w:rStyle w:val="FootnoteReference"/>
              </w:rPr>
              <w:footnoteReference w:id="22"/>
            </w:r>
          </w:p>
        </w:tc>
      </w:tr>
    </w:tbl>
    <w:p w14:paraId="42E99DC4" w14:textId="77777777" w:rsidR="002576CD" w:rsidRPr="002576CD" w:rsidRDefault="002576CD" w:rsidP="003E0C33">
      <w:pPr>
        <w:pStyle w:val="TableParagraph"/>
        <w:spacing w:after="120"/>
        <w:rPr>
          <w:sz w:val="17"/>
          <w:lang w:val="el-GR"/>
        </w:rPr>
      </w:pPr>
    </w:p>
    <w:p w14:paraId="17565048" w14:textId="034A37DE" w:rsidR="002576CD" w:rsidRDefault="002576CD" w:rsidP="003E0C33">
      <w:pPr>
        <w:pStyle w:val="P68B1DB1-TableParagraph2"/>
        <w:numPr>
          <w:ilvl w:val="0"/>
          <w:numId w:val="27"/>
        </w:numPr>
        <w:tabs>
          <w:tab w:val="left" w:pos="383"/>
        </w:tabs>
        <w:spacing w:after="120"/>
        <w:ind w:left="383" w:hanging="367"/>
      </w:pPr>
      <w:r>
        <w:t>Η πράξη ανάθεσης ΥΓΟΣ πρέπει πάντοτε να προσδιορίζει τις ακόλουθες πληροφορίες:</w:t>
      </w:r>
    </w:p>
    <w:p w14:paraId="65529918" w14:textId="77777777" w:rsidR="002576CD" w:rsidRDefault="002576CD" w:rsidP="003E0C33">
      <w:pPr>
        <w:pStyle w:val="P68B1DB1-TableParagraph2"/>
        <w:numPr>
          <w:ilvl w:val="1"/>
          <w:numId w:val="27"/>
        </w:numPr>
        <w:tabs>
          <w:tab w:val="left" w:pos="1105"/>
        </w:tabs>
        <w:spacing w:after="120"/>
        <w:ind w:hanging="368"/>
      </w:pPr>
      <w:r>
        <w:t>το περιεχόμενο και τη διάρκεια των υποχρεώσεων παροχής δημόσιας υπηρεσίας,</w:t>
      </w:r>
    </w:p>
    <w:p w14:paraId="2CC81DBD" w14:textId="77777777" w:rsidR="002576CD" w:rsidRDefault="002576CD" w:rsidP="003E0C33">
      <w:pPr>
        <w:pStyle w:val="P68B1DB1-TableParagraph2"/>
        <w:numPr>
          <w:ilvl w:val="1"/>
          <w:numId w:val="27"/>
        </w:numPr>
        <w:tabs>
          <w:tab w:val="left" w:pos="1105"/>
        </w:tabs>
        <w:spacing w:after="120"/>
        <w:ind w:hanging="368"/>
      </w:pPr>
      <w:r>
        <w:t>την επιχείρηση και, κατά περίπτωση, το σχετικό έδαφος,</w:t>
      </w:r>
    </w:p>
    <w:p w14:paraId="1429A458" w14:textId="77777777" w:rsidR="002576CD" w:rsidRDefault="002576CD" w:rsidP="003E0C33">
      <w:pPr>
        <w:pStyle w:val="P68B1DB1-TableParagraph2"/>
        <w:numPr>
          <w:ilvl w:val="1"/>
          <w:numId w:val="27"/>
        </w:numPr>
        <w:tabs>
          <w:tab w:val="left" w:pos="1105"/>
        </w:tabs>
        <w:spacing w:after="120"/>
        <w:ind w:right="26"/>
      </w:pPr>
      <w:r>
        <w:t>τη φύση των αποκλειστικών ή ειδικών δικαιωμάτων που έχουν εκχωρηθεί στην επιχείρηση από την εν λόγω αρχή,</w:t>
      </w:r>
    </w:p>
    <w:p w14:paraId="1C927ECA" w14:textId="77777777" w:rsidR="002576CD" w:rsidRDefault="002576CD" w:rsidP="003E0C33">
      <w:pPr>
        <w:pStyle w:val="P68B1DB1-TableParagraph2"/>
        <w:numPr>
          <w:ilvl w:val="1"/>
          <w:numId w:val="27"/>
        </w:numPr>
        <w:tabs>
          <w:tab w:val="left" w:pos="1105"/>
        </w:tabs>
        <w:spacing w:after="120"/>
        <w:ind w:right="23"/>
      </w:pPr>
      <w:r>
        <w:t>περιγραφή του μηχανισμού αντιστάθμισης και των παραμέτρων για τον υπολογισμό, τον έλεγχο και την επανεξέταση της αντιστάθμισης,</w:t>
      </w:r>
    </w:p>
    <w:p w14:paraId="3B16D56A" w14:textId="77777777" w:rsidR="002576CD" w:rsidRDefault="002576CD" w:rsidP="003E0C33">
      <w:pPr>
        <w:pStyle w:val="P68B1DB1-TableParagraph2"/>
        <w:numPr>
          <w:ilvl w:val="1"/>
          <w:numId w:val="27"/>
        </w:numPr>
        <w:tabs>
          <w:tab w:val="left" w:pos="1105"/>
        </w:tabs>
        <w:spacing w:after="120"/>
        <w:ind w:hanging="368"/>
      </w:pPr>
      <w:r>
        <w:t>τις ρυθμίσεις για την αποφυγή και την ανάκτηση τυχόν υπεραντιστάθμισης,</w:t>
      </w:r>
    </w:p>
    <w:p w14:paraId="760608AA" w14:textId="77777777" w:rsidR="002576CD" w:rsidRDefault="002576CD" w:rsidP="003E0C33">
      <w:pPr>
        <w:pStyle w:val="P68B1DB1-TableParagraph2"/>
        <w:numPr>
          <w:ilvl w:val="1"/>
          <w:numId w:val="27"/>
        </w:numPr>
        <w:tabs>
          <w:tab w:val="left" w:pos="1105"/>
        </w:tabs>
        <w:spacing w:after="120"/>
        <w:ind w:hanging="368"/>
      </w:pPr>
      <w:r>
        <w:t>[παραπομπή στην απόφαση ΥΓΟΣ, κατά περίπτωση].</w:t>
      </w:r>
    </w:p>
    <w:p w14:paraId="42C92314" w14:textId="77777777" w:rsidR="002576CD" w:rsidRDefault="002576CD" w:rsidP="003E0C33">
      <w:pPr>
        <w:pStyle w:val="TableParagraph"/>
        <w:spacing w:after="120"/>
        <w:rPr>
          <w:sz w:val="21"/>
        </w:rPr>
      </w:pPr>
    </w:p>
    <w:p w14:paraId="39539E1E" w14:textId="77777777" w:rsidR="002576CD" w:rsidRDefault="002576CD" w:rsidP="003E0C33">
      <w:pPr>
        <w:pStyle w:val="TableParagraph"/>
        <w:tabs>
          <w:tab w:val="left" w:pos="736"/>
        </w:tabs>
        <w:spacing w:after="120"/>
        <w:ind w:left="16"/>
      </w:pPr>
      <w:bookmarkStart w:id="15" w:name="_bookmark31"/>
      <w:bookmarkEnd w:id="15"/>
      <w:r>
        <w:t>3.1.3</w:t>
      </w:r>
      <w:r>
        <w:tab/>
        <w:t>Διάρκεια ανάθεσης ΥΓΟΣ</w:t>
      </w:r>
    </w:p>
    <w:p w14:paraId="2268FAA1" w14:textId="77777777" w:rsidR="002576CD" w:rsidRDefault="002576CD" w:rsidP="003E0C33">
      <w:pPr>
        <w:pStyle w:val="P68B1DB1-TableParagraph2"/>
        <w:numPr>
          <w:ilvl w:val="0"/>
          <w:numId w:val="26"/>
        </w:numPr>
        <w:tabs>
          <w:tab w:val="left" w:pos="382"/>
          <w:tab w:val="left" w:pos="384"/>
        </w:tabs>
        <w:spacing w:after="120"/>
        <w:ind w:right="13"/>
        <w:jc w:val="both"/>
      </w:pPr>
      <w:r>
        <w:t xml:space="preserve">Η έννοια της ΥΓΟΣ είναι μια εξελισσόμενη έννοια που εξαρτάται, μεταξύ άλλων, από τις ανάγκες των πολιτών, τις τεχνολογικές εξελίξεις και τις εξελίξεις της αγοράς και τις κοινωνικές και πολιτικές προτιμήσεις στο οικείο κράτος μέλος. Τα κράτη μέλη, κατά την υλοποίηση των ΥΓΟΣ, πρέπει να προβαίνουν σε προσεκτική αξιολόγηση της μέγιστης διάρκειας της υπηρεσίας, λαμβάνοντας υπόψη την αναμενόμενη εξέλιξη της αγοράς, η οποία καθοδηγείται από τις τοπικές ή/και παγκόσμιες τάσεις </w:t>
      </w:r>
      <w:r>
        <w:lastRenderedPageBreak/>
        <w:t>της αγοράς στη συγκεκριμένη περιοχή.</w:t>
      </w:r>
    </w:p>
    <w:p w14:paraId="3063BA0C" w14:textId="77777777" w:rsidR="002576CD" w:rsidRDefault="002576CD" w:rsidP="003E0C33">
      <w:pPr>
        <w:pStyle w:val="P68B1DB1-TableParagraph2"/>
        <w:numPr>
          <w:ilvl w:val="0"/>
          <w:numId w:val="26"/>
        </w:numPr>
        <w:tabs>
          <w:tab w:val="left" w:pos="382"/>
          <w:tab w:val="left" w:pos="384"/>
        </w:tabs>
        <w:spacing w:after="120"/>
        <w:ind w:right="20"/>
        <w:jc w:val="both"/>
      </w:pPr>
      <w:r>
        <w:t>Όταν, κατά τη διάρκεια μιας περιόδου ανάθεσης ΥΓΟΣ, μέρος των υπηρεσιών μετατρέπεται σε υπηρεσίες της αγοράς (υπηρεσίες πλήρους κόστους για τις οποίες δεν απαιτείται αντιστάθμιση), θα απαιτείται διόρθωση λόγω υπερβολικής κρατικής ενίσχυσης.</w:t>
      </w:r>
    </w:p>
    <w:p w14:paraId="7CE523BD" w14:textId="77777777" w:rsidR="002576CD" w:rsidRPr="00A05E4E" w:rsidRDefault="002576CD" w:rsidP="003E0C33">
      <w:pPr>
        <w:pStyle w:val="P68B1DB1-TableParagraph2"/>
        <w:numPr>
          <w:ilvl w:val="0"/>
          <w:numId w:val="26"/>
        </w:numPr>
        <w:tabs>
          <w:tab w:val="left" w:pos="382"/>
          <w:tab w:val="left" w:pos="384"/>
        </w:tabs>
        <w:spacing w:after="120"/>
        <w:ind w:right="38"/>
        <w:jc w:val="both"/>
      </w:pPr>
      <w:r>
        <w:t>Η διάρκεια της περιόδου ανάθεσης μπορεί να διαφέρει ανάλογα με την εφαρμοζόμενη νομική ΥΓΟΣ. Οι πληροφορίες συνοψίζονται στον πίνακα 4.</w:t>
      </w:r>
    </w:p>
    <w:p w14:paraId="08F186AB" w14:textId="77777777" w:rsidR="00A05E4E" w:rsidRDefault="00A05E4E" w:rsidP="00132778">
      <w:pPr>
        <w:pStyle w:val="P68B1DB1-a12"/>
        <w:spacing w:after="120"/>
        <w:ind w:left="25" w:firstLine="259"/>
        <w:rPr>
          <w:lang w:val="el-GR"/>
        </w:rPr>
      </w:pPr>
    </w:p>
    <w:p w14:paraId="4BED6555" w14:textId="5831C8CF" w:rsidR="007B1A84" w:rsidRDefault="002A0261" w:rsidP="00132778">
      <w:pPr>
        <w:pStyle w:val="P68B1DB1-a12"/>
        <w:spacing w:after="120"/>
        <w:ind w:left="25" w:firstLine="259"/>
      </w:pPr>
      <w:r>
        <w:t>Πίνακας</w:t>
      </w:r>
      <w:r>
        <w:t xml:space="preserve"> 4: </w:t>
      </w:r>
      <w:r>
        <w:t>Διάρκεια</w:t>
      </w:r>
      <w:r>
        <w:t xml:space="preserve"> </w:t>
      </w:r>
      <w:r>
        <w:t>ανάθεσης</w:t>
      </w:r>
      <w:r>
        <w:t xml:space="preserve"> </w:t>
      </w:r>
      <w:r>
        <w:t>ΥΓΟΣ</w:t>
      </w:r>
    </w:p>
    <w:tbl>
      <w:tblPr>
        <w:tblStyle w:val="TableNormal1"/>
        <w:tblW w:w="9214" w:type="dxa"/>
        <w:tblInd w:w="274" w:type="dxa"/>
        <w:tblBorders>
          <w:top w:val="single" w:sz="8" w:space="0" w:color="B6DDE8"/>
          <w:left w:val="single" w:sz="8" w:space="0" w:color="B6DDE8"/>
          <w:bottom w:val="single" w:sz="8" w:space="0" w:color="B6DDE8"/>
          <w:right w:val="single" w:sz="8" w:space="0" w:color="B6DDE8"/>
          <w:insideH w:val="single" w:sz="8" w:space="0" w:color="B6DDE8"/>
          <w:insideV w:val="single" w:sz="8" w:space="0" w:color="B6DDE8"/>
        </w:tblBorders>
        <w:tblLayout w:type="fixed"/>
        <w:tblLook w:val="01E0" w:firstRow="1" w:lastRow="1" w:firstColumn="1" w:lastColumn="1" w:noHBand="0" w:noVBand="0"/>
      </w:tblPr>
      <w:tblGrid>
        <w:gridCol w:w="1837"/>
        <w:gridCol w:w="7377"/>
      </w:tblGrid>
      <w:tr w:rsidR="007B1A84" w14:paraId="2B866F3D" w14:textId="77777777" w:rsidTr="00132778">
        <w:trPr>
          <w:trHeight w:val="315"/>
        </w:trPr>
        <w:tc>
          <w:tcPr>
            <w:tcW w:w="1837" w:type="dxa"/>
            <w:tcBorders>
              <w:bottom w:val="single" w:sz="8" w:space="0" w:color="92CDDC"/>
            </w:tcBorders>
            <w:shd w:val="clear" w:color="auto" w:fill="F9BE8F"/>
          </w:tcPr>
          <w:p w14:paraId="7E5F277A" w14:textId="77777777" w:rsidR="007B1A84" w:rsidRDefault="002A0261" w:rsidP="003E0C33">
            <w:pPr>
              <w:pStyle w:val="P68B1DB1-TableParagraph15"/>
              <w:spacing w:after="120"/>
              <w:ind w:left="118"/>
            </w:pPr>
            <w:r>
              <w:t>Νομική</w:t>
            </w:r>
            <w:r>
              <w:t xml:space="preserve"> </w:t>
            </w:r>
            <w:r>
              <w:t>βάση</w:t>
            </w:r>
          </w:p>
        </w:tc>
        <w:tc>
          <w:tcPr>
            <w:tcW w:w="7377" w:type="dxa"/>
            <w:tcBorders>
              <w:bottom w:val="single" w:sz="8" w:space="0" w:color="92CDDC"/>
            </w:tcBorders>
            <w:shd w:val="clear" w:color="auto" w:fill="F9BE8F"/>
          </w:tcPr>
          <w:p w14:paraId="237A727A" w14:textId="77777777" w:rsidR="007B1A84" w:rsidRDefault="002A0261" w:rsidP="003E0C33">
            <w:pPr>
              <w:pStyle w:val="P68B1DB1-TableParagraph15"/>
              <w:spacing w:after="120"/>
              <w:ind w:left="118"/>
            </w:pPr>
            <w:r>
              <w:t>Επιλέξιμη</w:t>
            </w:r>
            <w:r>
              <w:t xml:space="preserve"> </w:t>
            </w:r>
            <w:r>
              <w:t>μέγιστη</w:t>
            </w:r>
            <w:r>
              <w:t xml:space="preserve"> </w:t>
            </w:r>
            <w:r>
              <w:t>διάρκεια</w:t>
            </w:r>
            <w:r>
              <w:t xml:space="preserve"> </w:t>
            </w:r>
            <w:r>
              <w:t>ανάθεσης</w:t>
            </w:r>
            <w:r>
              <w:t xml:space="preserve"> </w:t>
            </w:r>
            <w:r>
              <w:t>ΥΓΟΣ</w:t>
            </w:r>
          </w:p>
        </w:tc>
      </w:tr>
      <w:tr w:rsidR="007B1A84" w14:paraId="7A8CB0D0" w14:textId="77777777" w:rsidTr="00132778">
        <w:trPr>
          <w:trHeight w:val="957"/>
        </w:trPr>
        <w:tc>
          <w:tcPr>
            <w:tcW w:w="1837" w:type="dxa"/>
            <w:tcBorders>
              <w:top w:val="single" w:sz="8" w:space="0" w:color="92CDDC"/>
            </w:tcBorders>
            <w:vAlign w:val="center"/>
          </w:tcPr>
          <w:p w14:paraId="46081222" w14:textId="77777777" w:rsidR="007B1A84" w:rsidRDefault="002A0261" w:rsidP="00132778">
            <w:pPr>
              <w:pStyle w:val="P68B1DB1-TableParagraph13"/>
              <w:spacing w:after="120"/>
              <w:ind w:left="118"/>
            </w:pPr>
            <w:r>
              <w:t>Απόφαση Altmark</w:t>
            </w:r>
          </w:p>
        </w:tc>
        <w:tc>
          <w:tcPr>
            <w:tcW w:w="7377" w:type="dxa"/>
            <w:tcBorders>
              <w:top w:val="single" w:sz="8" w:space="0" w:color="92CDDC"/>
            </w:tcBorders>
          </w:tcPr>
          <w:p w14:paraId="3EAC7EE3" w14:textId="77777777" w:rsidR="007B1A84" w:rsidRDefault="002A0261" w:rsidP="003E0C33">
            <w:pPr>
              <w:pStyle w:val="P68B1DB1-TableParagraph13"/>
              <w:spacing w:after="120"/>
              <w:ind w:left="118" w:right="103"/>
              <w:jc w:val="both"/>
            </w:pPr>
            <w:r>
              <w:t>Η περίοδος ανάθεσης, κατά κανόνα, καθορίζεται στο πλαίσιο της ανοικτής διαδικασίας σύναψης δημόσιων συμβάσεων που χρησιμοποιείται για τον επιλεγμένο πάροχο υπηρεσιών. Η προτεινόμενη διάρκεια μπορεί να δικαιολογείται από την περίοδο απόσβεσης των περιουσιακών στοιχείων, την εξόφληση των δανείων που έχουν ληφθεί για την επένδυση στα στοιχεία ενεργητικού που είναι αναγκαία για την παροχή της σχετικής υπηρεσίας κ.λπ.</w:t>
            </w:r>
          </w:p>
        </w:tc>
      </w:tr>
      <w:tr w:rsidR="007B1A84" w14:paraId="56B4A6F6" w14:textId="77777777" w:rsidTr="00132778">
        <w:trPr>
          <w:trHeight w:val="316"/>
        </w:trPr>
        <w:tc>
          <w:tcPr>
            <w:tcW w:w="1837" w:type="dxa"/>
            <w:vMerge w:val="restart"/>
            <w:vAlign w:val="center"/>
          </w:tcPr>
          <w:p w14:paraId="565E92DC" w14:textId="77777777" w:rsidR="007B1A84" w:rsidRDefault="002A0261" w:rsidP="00132778">
            <w:pPr>
              <w:pStyle w:val="P68B1DB1-TableParagraph13"/>
              <w:spacing w:after="120"/>
              <w:ind w:left="118"/>
            </w:pPr>
            <w:r>
              <w:t>Απόφαση ΥΓΟΣ</w:t>
            </w:r>
          </w:p>
        </w:tc>
        <w:tc>
          <w:tcPr>
            <w:tcW w:w="7377" w:type="dxa"/>
          </w:tcPr>
          <w:p w14:paraId="0534D3F9" w14:textId="2F90522F" w:rsidR="007B1A84" w:rsidRDefault="002A0261" w:rsidP="003E0C33">
            <w:pPr>
              <w:pStyle w:val="P68B1DB1-TableParagraph13"/>
              <w:spacing w:after="120"/>
              <w:ind w:left="118"/>
            </w:pPr>
            <w:r>
              <w:t>Κανονικά, 10 χρόνια.</w:t>
            </w:r>
            <w:r w:rsidR="00132778">
              <w:rPr>
                <w:rStyle w:val="FootnoteReference"/>
              </w:rPr>
              <w:footnoteReference w:id="23"/>
            </w:r>
          </w:p>
        </w:tc>
      </w:tr>
      <w:tr w:rsidR="007B1A84" w14:paraId="156FAF86" w14:textId="77777777" w:rsidTr="00132778">
        <w:trPr>
          <w:trHeight w:val="732"/>
        </w:trPr>
        <w:tc>
          <w:tcPr>
            <w:tcW w:w="1837" w:type="dxa"/>
            <w:vMerge/>
            <w:tcBorders>
              <w:top w:val="nil"/>
            </w:tcBorders>
          </w:tcPr>
          <w:p w14:paraId="6B760B59" w14:textId="77777777" w:rsidR="007B1A84" w:rsidRDefault="007B1A84" w:rsidP="003E0C33">
            <w:pPr>
              <w:spacing w:after="120"/>
              <w:rPr>
                <w:sz w:val="2"/>
              </w:rPr>
            </w:pPr>
          </w:p>
        </w:tc>
        <w:tc>
          <w:tcPr>
            <w:tcW w:w="7377" w:type="dxa"/>
          </w:tcPr>
          <w:p w14:paraId="2A9E4953" w14:textId="55BE2D25" w:rsidR="007B1A84" w:rsidRDefault="002A0261" w:rsidP="003E0C33">
            <w:pPr>
              <w:pStyle w:val="TableParagraph"/>
              <w:spacing w:after="120"/>
              <w:ind w:left="118" w:right="79"/>
              <w:jc w:val="both"/>
              <w:rPr>
                <w:position w:val="6"/>
                <w:sz w:val="13"/>
              </w:rPr>
            </w:pPr>
            <w:r>
              <w:rPr>
                <w:sz w:val="17"/>
              </w:rPr>
              <w:t>Μεγαλύτερη περίοδος από 10 έτη, εάν απαιτείται σημαντική επένδυση από τον πάροχο υπηρεσιών η οποία πρέπει να αποσβεστεί για μεγαλύτερο χρονικό διάστημα σύμφωνα με τις γενικά αποδεκτές λογιστικές</w:t>
            </w:r>
            <w:hyperlink w:anchor="_bookmark35" w:history="1">
              <w:r>
                <w:rPr>
                  <w:sz w:val="17"/>
                </w:rPr>
                <w:t xml:space="preserve">αρχές </w:t>
              </w:r>
            </w:hyperlink>
            <w:hyperlink w:anchor="_bookmark36" w:history="1">
              <w:r>
                <w:rPr>
                  <w:position w:val="6"/>
                  <w:sz w:val="13"/>
                </w:rPr>
                <w:t>24</w:t>
              </w:r>
              <w:r w:rsidR="00132778">
                <w:rPr>
                  <w:rStyle w:val="FootnoteReference"/>
                  <w:position w:val="6"/>
                  <w:sz w:val="13"/>
                </w:rPr>
                <w:footnoteReference w:id="24"/>
              </w:r>
              <w:r>
                <w:rPr>
                  <w:position w:val="6"/>
                  <w:sz w:val="13"/>
                </w:rPr>
                <w:t>.</w:t>
              </w:r>
            </w:hyperlink>
            <w:hyperlink w:anchor="_bookmark37" w:history="1">
              <w:r>
                <w:rPr>
                  <w:position w:val="6"/>
                  <w:sz w:val="13"/>
                </w:rPr>
                <w:t>25</w:t>
              </w:r>
            </w:hyperlink>
            <w:r w:rsidR="00132778">
              <w:rPr>
                <w:rStyle w:val="FootnoteReference"/>
                <w:position w:val="6"/>
                <w:sz w:val="13"/>
              </w:rPr>
              <w:footnoteReference w:id="25"/>
            </w:r>
            <w:r>
              <w:rPr>
                <w:position w:val="6"/>
                <w:sz w:val="13"/>
              </w:rPr>
              <w:t xml:space="preserve"> 26</w:t>
            </w:r>
            <w:r w:rsidR="00132778">
              <w:rPr>
                <w:rStyle w:val="FootnoteReference"/>
                <w:position w:val="6"/>
                <w:sz w:val="13"/>
              </w:rPr>
              <w:footnoteReference w:id="26"/>
            </w:r>
          </w:p>
        </w:tc>
      </w:tr>
      <w:tr w:rsidR="007B1A84" w14:paraId="3539217A" w14:textId="77777777" w:rsidTr="00132778">
        <w:trPr>
          <w:trHeight w:val="524"/>
        </w:trPr>
        <w:tc>
          <w:tcPr>
            <w:tcW w:w="1837" w:type="dxa"/>
          </w:tcPr>
          <w:p w14:paraId="78AD6E42" w14:textId="77777777" w:rsidR="007B1A84" w:rsidRDefault="002A0261" w:rsidP="003E0C33">
            <w:pPr>
              <w:pStyle w:val="P68B1DB1-TableParagraph13"/>
              <w:spacing w:after="120"/>
              <w:ind w:left="118"/>
            </w:pPr>
            <w:r>
              <w:t>Πλαίσιο ΥΓΟΣ</w:t>
            </w:r>
          </w:p>
        </w:tc>
        <w:tc>
          <w:tcPr>
            <w:tcW w:w="7377" w:type="dxa"/>
          </w:tcPr>
          <w:p w14:paraId="306BDE3A" w14:textId="77777777" w:rsidR="007B1A84" w:rsidRDefault="002A0261" w:rsidP="003E0C33">
            <w:pPr>
              <w:pStyle w:val="P68B1DB1-TableParagraph13"/>
              <w:spacing w:after="120"/>
              <w:ind w:left="118"/>
            </w:pPr>
            <w:r>
              <w:t>Η διάρκεια πρέπει να αιτιολογείται με βάση αντικειμενικά κριτήρια, όπως η ανάγκη απόσβεσης των μη μεταβιβάσιμων πάγιων στοιχείων ενεργητικού.</w:t>
            </w:r>
          </w:p>
        </w:tc>
      </w:tr>
    </w:tbl>
    <w:p w14:paraId="2323AE75" w14:textId="68F533E1" w:rsidR="007B1A84" w:rsidRPr="006F0886" w:rsidRDefault="002A0261" w:rsidP="003E0C33">
      <w:pPr>
        <w:pStyle w:val="P68B1DB1-a58"/>
        <w:numPr>
          <w:ilvl w:val="0"/>
          <w:numId w:val="25"/>
        </w:numPr>
        <w:tabs>
          <w:tab w:val="left" w:pos="391"/>
          <w:tab w:val="left" w:pos="393"/>
        </w:tabs>
        <w:spacing w:before="240" w:after="120"/>
        <w:ind w:left="392" w:right="408"/>
      </w:pPr>
      <w:r>
        <w:t>Η διάρκεια της περιόδου ανάθεσης συνδέεται στενά με τον καθορισμό του ετήσιου ποσού της αντιστάθμισης για τους σκοπούς της εφαρμογής της απόφασης ΥΓΟΣ. Εάν το ποσό της αντιστάθμισης ποικίλλει κατά τη διάρκεια της ανάθεσης, για παράδειγμα, επειδή σε ορισμένα έτη απαιτούνται σημαντικές επενδύσεις σε υποδομές/εξοπλισμό, το ετήσιο ποσό της αντιστάθμισης μπορεί να υπολογιστεί ως μέσο ποσό ανά έτος της συνολικής αναμενόμενης αντιστάθμισης κατά τη διάρκεια της περιόδου ανάθεσης [άρθρο 2 παράγραφος 1 στοιχείο α) της απόφασης ΥΓΟΣ]. Το μέσο αυτό ποσό δεν μπορεί να υπερβαίνει τα 15 εκατ. ευρώ ετησίως.</w:t>
      </w:r>
    </w:p>
    <w:p w14:paraId="2C513DDB" w14:textId="77777777" w:rsidR="006F0886" w:rsidRPr="00B15173" w:rsidRDefault="006F0886" w:rsidP="006F0886">
      <w:pPr>
        <w:pStyle w:val="P68B1DB1-a58"/>
        <w:tabs>
          <w:tab w:val="left" w:pos="391"/>
          <w:tab w:val="left" w:pos="393"/>
        </w:tabs>
        <w:spacing w:before="240" w:after="120"/>
        <w:ind w:left="23" w:right="408" w:firstLine="0"/>
      </w:pPr>
    </w:p>
    <w:p w14:paraId="2AE88DC8" w14:textId="77777777" w:rsidR="007B1A84" w:rsidRDefault="002A0261" w:rsidP="003E0C33">
      <w:pPr>
        <w:pStyle w:val="Heading5"/>
        <w:numPr>
          <w:ilvl w:val="2"/>
          <w:numId w:val="24"/>
        </w:numPr>
        <w:tabs>
          <w:tab w:val="left" w:pos="745"/>
        </w:tabs>
        <w:spacing w:after="120"/>
        <w:ind w:left="745" w:hanging="720"/>
      </w:pPr>
      <w:bookmarkStart w:id="17" w:name="_bookmark33"/>
      <w:bookmarkEnd w:id="17"/>
      <w:r>
        <w:lastRenderedPageBreak/>
        <w:t>Αντιστάθμιση ΥΓΟΣ και ανάκτηση υπεραντιστάθμισης</w:t>
      </w:r>
    </w:p>
    <w:p w14:paraId="7F45E2C4" w14:textId="77777777" w:rsidR="001613E6" w:rsidRPr="001613E6" w:rsidRDefault="002A0261" w:rsidP="00132778">
      <w:pPr>
        <w:pStyle w:val="P68B1DB1-a58"/>
        <w:numPr>
          <w:ilvl w:val="0"/>
          <w:numId w:val="25"/>
        </w:numPr>
        <w:tabs>
          <w:tab w:val="left" w:pos="391"/>
          <w:tab w:val="left" w:pos="393"/>
        </w:tabs>
        <w:spacing w:after="120"/>
        <w:ind w:right="440"/>
      </w:pPr>
      <w:r>
        <w:t>Μια πράξη ανάθεσης ΥΓΟΣ πρέπει να καθορίζει τον μηχανισμό αντιστάθμισης ΥΓΟΣ, ο οποίος περιλαμβάνει παραμέτρους για τον καθορισμό, τον έλεγχο και την επανεξέταση της αντιστάθμισης. Ομοίως, η πράξη ανάθεσης ΥΓΟΣ θα πρέπει να καθορίζει τις ρυθμίσεις για την αποφυγή και την ανάκτηση τυχόν υπεραντιστάθμισης. Ο μηχανισμός αντιστάθμισης ΥΓΟΣ και οι παράμετροι για τον υπολογισμό του ποσού της αντιστάθμισης ΥΓΟΣ θα πρέπει να εξετάζουν εκ των προτέρων ενδεχόμενη ύπαρξη οποιουδήποτε εισοδήματος από την επεξεργασία αποβλήτων.</w:t>
      </w:r>
    </w:p>
    <w:p w14:paraId="5E68DD31" w14:textId="61406A96" w:rsidR="007B1A84" w:rsidRDefault="002A0261" w:rsidP="00132778">
      <w:pPr>
        <w:pStyle w:val="P68B1DB1-a58"/>
        <w:numPr>
          <w:ilvl w:val="0"/>
          <w:numId w:val="25"/>
        </w:numPr>
        <w:tabs>
          <w:tab w:val="left" w:pos="391"/>
          <w:tab w:val="left" w:pos="393"/>
        </w:tabs>
        <w:spacing w:after="120"/>
        <w:ind w:right="440"/>
      </w:pPr>
      <w:r>
        <w:t>Η αντιστάθμιση ΥΓΟΣ δεν μπορεί να υπερβαίνει το ποσό του καθαρού κόστους που συνδέεται με την παροχή ΥΓΟΣ, στο οποίο μπορεί να προστεθεί εύλογο κέρδος.</w:t>
      </w:r>
    </w:p>
    <w:p w14:paraId="77FA7AB6" w14:textId="77777777" w:rsidR="007B1A84" w:rsidRDefault="002A0261" w:rsidP="003E0C33">
      <w:pPr>
        <w:pStyle w:val="Heading7"/>
        <w:spacing w:after="120"/>
      </w:pPr>
      <w:r>
        <w:t>Καθορισμός του ποσού της αντιστάθμισης</w:t>
      </w:r>
    </w:p>
    <w:p w14:paraId="5F42971E" w14:textId="41702FC4" w:rsidR="007B1A84" w:rsidRDefault="002A0261" w:rsidP="003E0C33">
      <w:pPr>
        <w:pStyle w:val="P68B1DB1-a58"/>
        <w:numPr>
          <w:ilvl w:val="0"/>
          <w:numId w:val="25"/>
        </w:numPr>
        <w:tabs>
          <w:tab w:val="left" w:pos="391"/>
          <w:tab w:val="left" w:pos="393"/>
        </w:tabs>
        <w:spacing w:after="120"/>
        <w:ind w:right="427"/>
      </w:pPr>
      <w:r>
        <w:t>Το καθαρό κόστος των ΥΓΟΣ μπορεί να υπολογιστεί με βάση τη μεθοδολογία κατανομής του κόστους. Σύμφωνα με τη μεθοδολογία κατανομής του κόστους, το καθαρό κόστος που απαιτείται για την εκπλήρωση της υποχρέωσης παροχής δημόσιας υπηρεσίας μπορεί να υπολογιστεί ως η διαφορά μεταξύ των δαπανών που συνδέονται με τη λειτουργία της ΥΓΟΣ και των εσόδων που προκύπτουν από την ΥΓΟΣ, λαμβανομένων υπόψη των εκτιμήσεων που παρέχονται στην</w:t>
      </w:r>
      <w:hyperlink w:anchor="_bookmark38" w:history="1">
        <w:r>
          <w:t>πράξη</w:t>
        </w:r>
      </w:hyperlink>
      <w:r>
        <w:t xml:space="preserve"> ανάθεσης </w:t>
      </w:r>
      <w:r w:rsidR="006F0886">
        <w:rPr>
          <w:rStyle w:val="FootnoteReference"/>
        </w:rPr>
        <w:footnoteReference w:id="27"/>
      </w:r>
      <w:r>
        <w:t>.</w:t>
      </w:r>
    </w:p>
    <w:p w14:paraId="18AC559C" w14:textId="54A1ACF4" w:rsidR="007B1A84" w:rsidRDefault="002A0261" w:rsidP="003E0C33">
      <w:pPr>
        <w:pStyle w:val="P68B1DB1-a58"/>
        <w:numPr>
          <w:ilvl w:val="0"/>
          <w:numId w:val="25"/>
        </w:numPr>
        <w:tabs>
          <w:tab w:val="left" w:pos="391"/>
          <w:tab w:val="left" w:pos="393"/>
        </w:tabs>
        <w:spacing w:after="120"/>
        <w:ind w:right="413"/>
      </w:pPr>
      <w:r>
        <w:t>Το καθαρό κόστος των ΥΓΟΣ μπορεί επίσης να υπολογιστεί με βάση τη μεθοδολογία του καθαρού αποφευχθέντος κόστους. Στο πλαίσιο της μεθοδολογίας του καθαρού αποφευχθέντος κόστους, το καθαρό κόστος που απαιτείται ή αναμένεται να είναι αναγκαίο για την εκπλήρωση των υποχρεώσεων παροχής δημόσιας υπηρεσίας υπολογίζεται ως η διαφορά μεταξύ του καθαρού κόστους για τον πάροχο λειτουργίας με την υποχρέωση παροχής δημόσιας υπηρεσίας και του καθαρού κόστους ή κέρδους για τον ίδιο πάροχο λειτουργίας χωρίς την υποχρέωση αυτή (βλ. επίσης παράρτημα 3 του ισχύοντος ΑΕΠ, «Παραδείγματα διαχωρισμού λογαριασμών»)</w:t>
      </w:r>
      <w:hyperlink w:anchor="_bookmark39" w:history="1">
        <w:r>
          <w:t>.</w:t>
        </w:r>
        <w:r w:rsidR="006F0886">
          <w:rPr>
            <w:rStyle w:val="FootnoteReference"/>
          </w:rPr>
          <w:footnoteReference w:id="28"/>
        </w:r>
        <w:r>
          <w:t xml:space="preserve"> </w:t>
        </w:r>
      </w:hyperlink>
      <w:r>
        <w:t xml:space="preserve">Πρέπει να δοθεί δέουσα προσοχή στην ορθή εκτίμηση του κόστους που αναμένεται να αποφύγει ο πάροχος υπηρεσιών και των εσόδων που αναμένεται να μην λάβει, ελλείψει της υποχρέωσης παροχής δημόσιας υπηρεσίας. Ο υπολογισμός του καθαρού κόστους θα πρέπει να αξιολογεί τα οφέλη, συμπεριλαμβανομένων των άυλων οφελών, στο μέτρο του δυνατού, για την παροχή ΥΓΟΣ. </w:t>
      </w:r>
      <w:r w:rsidR="006F0886">
        <w:rPr>
          <w:rStyle w:val="FootnoteReference"/>
        </w:rPr>
        <w:footnoteReference w:id="29"/>
      </w:r>
    </w:p>
    <w:p w14:paraId="265CF0E1" w14:textId="07CF99B4" w:rsidR="007B1A84" w:rsidRDefault="002A0261" w:rsidP="003E0C33">
      <w:pPr>
        <w:pStyle w:val="P68B1DB1-a58"/>
        <w:numPr>
          <w:ilvl w:val="0"/>
          <w:numId w:val="25"/>
        </w:numPr>
        <w:tabs>
          <w:tab w:val="left" w:pos="391"/>
          <w:tab w:val="left" w:pos="393"/>
        </w:tabs>
        <w:spacing w:after="120"/>
        <w:ind w:right="408"/>
      </w:pPr>
      <w:r>
        <w:t>Ως</w:t>
      </w:r>
      <w:r>
        <w:rPr>
          <w:rFonts w:ascii="Arial" w:hAnsi="Arial"/>
          <w:i/>
        </w:rPr>
        <w:t>«εύλογο κέρδος</w:t>
      </w:r>
      <w:r>
        <w:t>» νοείται το ποσοστό απόδοσης κεφαλαίου που θα απαιτηθεί από μια μέση επιχείρηση η οποία εξετάζει αν θα παράσχει ή όχι την ΥΓΟΣ για ολόκληρη την περίοδο ανάθεσης, λαμβανομένου υπόψη του επιπέδου κινδύνου. Ως «</w:t>
      </w:r>
      <w:r>
        <w:rPr>
          <w:rFonts w:ascii="Arial" w:hAnsi="Arial"/>
          <w:i/>
        </w:rPr>
        <w:t>ποσοστό απόδοσης κεφαλαίου</w:t>
      </w:r>
      <w:r>
        <w:t>» νοείται ο εσωτερικός συντελεστής απόδοσης που πραγματοποιεί η επιχείρηση στο επενδυμένο κεφάλαιό της κατά τη διάρκεια της περιόδου ανάθεσης. Όταν η παροχή της υπηρεσίας γενικού οικονομικού συμφέροντος δεν συνδέεται με σημαντικό εμπορικό ή συμβατικό κίνδυνο, ιδίως όταν το καθαρό κόστος που προκύπτει για την παροχή της υπηρεσίας γενικού οικονομικού συμφέροντος αντισταθμίζεται ουσιαστικά εκ των υστέρων πλήρως, το εύλογο κέρδος δεν μπορεί να υπερβαίνει το σχετικό swap ra</w:t>
      </w:r>
      <w:hyperlink w:anchor="_bookmark41" w:history="1">
        <w:r>
          <w:t>te</w:t>
        </w:r>
      </w:hyperlink>
      <w:r w:rsidR="006F0886">
        <w:rPr>
          <w:rStyle w:val="FootnoteReference"/>
        </w:rPr>
        <w:footnoteReference w:id="30"/>
      </w:r>
      <w:r>
        <w:t xml:space="preserve"> συν ένα ασφάλιστρο 100 μονάδων βάσης.</w:t>
      </w:r>
    </w:p>
    <w:p w14:paraId="5691ABD9" w14:textId="1D23A980" w:rsidR="007B1A84" w:rsidRDefault="002A0261" w:rsidP="003E0C33">
      <w:pPr>
        <w:pStyle w:val="P68B1DB1-a58"/>
        <w:numPr>
          <w:ilvl w:val="0"/>
          <w:numId w:val="25"/>
        </w:numPr>
        <w:tabs>
          <w:tab w:val="left" w:pos="391"/>
          <w:tab w:val="left" w:pos="393"/>
        </w:tabs>
        <w:spacing w:after="120"/>
        <w:ind w:right="413"/>
      </w:pPr>
      <w:r>
        <w:t xml:space="preserve">Όταν αξιολογείται η συμβατότητα της αντιστάθμισης ΥΓΟΣ με βάση το πλαίσιο ΥΓΟΣ· κατά την εκπόνηση της μεθόδου αντιστάθμισης, τα κράτη μέλη πρέπει να θεσπίσουν κίνητρα </w:t>
      </w:r>
      <w:r>
        <w:lastRenderedPageBreak/>
        <w:t>αποδοτικότητας για την παροχή ΥΓΟΣ υψηλού επιπέδου</w:t>
      </w:r>
      <w:hyperlink w:anchor="_bookmark42" w:history="1">
        <w:r>
          <w:t>.</w:t>
        </w:r>
      </w:hyperlink>
      <w:r w:rsidR="00DA6777">
        <w:rPr>
          <w:rStyle w:val="FootnoteReference"/>
        </w:rPr>
        <w:footnoteReference w:id="31"/>
      </w:r>
      <w:r>
        <w:t>.</w:t>
      </w:r>
    </w:p>
    <w:p w14:paraId="2D7A81F2" w14:textId="77777777" w:rsidR="007B1A84" w:rsidRDefault="002A0261" w:rsidP="003E0C33">
      <w:pPr>
        <w:pStyle w:val="P68B1DB1-a58"/>
        <w:numPr>
          <w:ilvl w:val="0"/>
          <w:numId w:val="25"/>
        </w:numPr>
        <w:tabs>
          <w:tab w:val="left" w:pos="391"/>
          <w:tab w:val="left" w:pos="393"/>
        </w:tabs>
        <w:spacing w:after="120"/>
        <w:ind w:right="428"/>
      </w:pPr>
      <w:r>
        <w:t>Οι δαπάνες που συνδέονται με τη λειτουργία της ΥΓΟΣ πρέπει να υπολογίζονται με βάση γενικά αποδεκτούς κανόνες κοστολόγησης, λαμβάνοντας υπόψη τις ακόλουθες αρχές:</w:t>
      </w:r>
    </w:p>
    <w:p w14:paraId="02C7955D" w14:textId="0DEEABBA" w:rsidR="007B1A84" w:rsidRPr="00DA6777" w:rsidRDefault="002A0261" w:rsidP="006B45D1">
      <w:pPr>
        <w:pStyle w:val="P68B1DB1-a58"/>
        <w:numPr>
          <w:ilvl w:val="1"/>
          <w:numId w:val="25"/>
        </w:numPr>
        <w:tabs>
          <w:tab w:val="left" w:pos="1114"/>
        </w:tabs>
        <w:spacing w:after="120"/>
        <w:ind w:left="1114" w:right="429" w:hanging="369"/>
        <w:rPr>
          <w:rFonts w:ascii="Symbol" w:hAnsi="Symbol"/>
        </w:rPr>
      </w:pPr>
      <w:r>
        <w:t>Όταν ο πάροχος υπηρεσιών ΥΓΟΣ εκτελεί μόνο τις δραστηριότητες ΥΓΟΣ που του έχουν ανατεθεί, μπορούν να ληφθούν υπόψη όλες οι δαπάνες του παρόχου ΥΓΟΣ,όταν ο πάροχος ΥΓΟΣ ασκεί επίσης δραστηριότητες εκτός των δραστηριοτήτων ΥΓΟΣ που του έχουν ανατεθεί, μπορούν να ληφθούν υπόψη μόνο οι δαπάνες που σχετίζονται με την ΥΓΟΣ,</w:t>
      </w:r>
    </w:p>
    <w:p w14:paraId="3DB9AFBB" w14:textId="77777777" w:rsidR="007B1A84" w:rsidRDefault="002A0261" w:rsidP="003E0C33">
      <w:pPr>
        <w:pStyle w:val="P68B1DB1-a58"/>
        <w:numPr>
          <w:ilvl w:val="1"/>
          <w:numId w:val="25"/>
        </w:numPr>
        <w:tabs>
          <w:tab w:val="left" w:pos="1114"/>
        </w:tabs>
        <w:spacing w:after="120"/>
        <w:ind w:left="1114" w:right="423" w:hanging="369"/>
        <w:rPr>
          <w:rFonts w:ascii="Symbol" w:hAnsi="Symbol"/>
        </w:rPr>
      </w:pPr>
      <w:r>
        <w:t>Μπορούν να ληφθούν υπόψη όλες οι άμεσες δαπάνες που σχετίζονται με τη λειτουργία της ΥΓΟΣ, καθώς και κατάλληλο μέρος από τις κοινές δαπάνες που απαιτούνται για την εκτέλεση διαφορετικών δραστηριοτήτων του παρόχου ΥΓΟΣ (δραστηριότητες ΥΓΟΣ και άλλες δραστηριότητες),</w:t>
      </w:r>
    </w:p>
    <w:p w14:paraId="17977374" w14:textId="77777777" w:rsidR="007B1A84" w:rsidRDefault="002A0261" w:rsidP="003E0C33">
      <w:pPr>
        <w:pStyle w:val="P68B1DB1-a58"/>
        <w:numPr>
          <w:ilvl w:val="1"/>
          <w:numId w:val="25"/>
        </w:numPr>
        <w:tabs>
          <w:tab w:val="left" w:pos="1114"/>
        </w:tabs>
        <w:spacing w:after="120"/>
        <w:ind w:left="1114" w:right="425" w:hanging="369"/>
        <w:rPr>
          <w:rFonts w:ascii="Symbol" w:hAnsi="Symbol"/>
        </w:rPr>
      </w:pPr>
      <w:r>
        <w:t>Οι δαπάνες που συνδέονται με επενδύσεις σε υποδομές/εξοπλισμό μπορούν να λαμβάνονται υπόψη εάν οι δαπάνες αυτές είναι αναγκαίες για την υλοποίηση της ανατεθείσας ΥΓΟΣ και οι δαπάνες αυτές μπορούν να ληφθούν υπόψη μόνο στο ποσοστό που αναλογεί στην ΥΓΟΣ, όταν ο επαγγελματίας ΥΓΟΣ ασκεί επίσης δραστηριότητες εκτός των δραστηριοτήτων ΥΓΟΣ που του έχουν ανατεθεί.</w:t>
      </w:r>
    </w:p>
    <w:p w14:paraId="2834DD71" w14:textId="77777777" w:rsidR="007B1A84" w:rsidRDefault="002A0261" w:rsidP="003E0C33">
      <w:pPr>
        <w:pStyle w:val="P68B1DB1-a58"/>
        <w:numPr>
          <w:ilvl w:val="0"/>
          <w:numId w:val="25"/>
        </w:numPr>
        <w:tabs>
          <w:tab w:val="left" w:pos="391"/>
          <w:tab w:val="left" w:pos="393"/>
        </w:tabs>
        <w:spacing w:after="120"/>
        <w:ind w:right="394"/>
      </w:pPr>
      <w:r>
        <w:t xml:space="preserve">Όταν οι επενδυτικές δαπάνες σε υποδομές/εξοπλισμό καλύπτονται από την αντιστάθμιση ΥΓΟΣ, το ποσό της αντιστάθμισης για τις εν λόγω δαπάνες δεν υπερβαίνει τη διαφορά μεταξύ των επιλέξιμων δαπανών και του λειτουργικού κέρδους από την επένδυση. Το κέρδος εκμετάλλευσης αφαιρείται από τις επιλέξιμες δαπάνες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t xml:space="preserve">, βάσει εύλογων προβλέψεων (υπολογισμός του κενού χρηματοδότησης) ή μέσω </w:t>
      </w:r>
      <w:r>
        <w:rPr>
          <w:rFonts w:ascii="Arial"/>
          <w:i/>
        </w:rPr>
        <w:t>μηχανισμού</w:t>
      </w:r>
      <w:r>
        <w:rPr>
          <w:rFonts w:ascii="Arial"/>
          <w:i/>
        </w:rPr>
        <w:t xml:space="preserve"> </w:t>
      </w:r>
      <w:r>
        <w:rPr>
          <w:rFonts w:ascii="Arial"/>
          <w:i/>
        </w:rPr>
        <w:t>ανάκτησης</w:t>
      </w:r>
      <w:r>
        <w:t>. Ο μηχανισμός ανάκτησης θα πρέπει να διασφαλίζει την ισόρροπη κατανομή των πρόσθετων κερδών όταν το έργο είναι πιο επικερδές από ό,τι προβλεπόταν στην αρχική ανάλυση του ελλείμματος χρηματοδότησης. Κάθε τέτοιος μηχανισμός ανάκτησης θα πρέπει να ορίζεται σαφώς εκ των προτέρων.</w:t>
      </w:r>
    </w:p>
    <w:p w14:paraId="0F2009A7" w14:textId="77777777" w:rsidR="007B1A84" w:rsidRDefault="002A0261" w:rsidP="003E0C33">
      <w:pPr>
        <w:pStyle w:val="P68B1DB1-a58"/>
        <w:numPr>
          <w:ilvl w:val="0"/>
          <w:numId w:val="25"/>
        </w:numPr>
        <w:tabs>
          <w:tab w:val="left" w:pos="391"/>
          <w:tab w:val="left" w:pos="393"/>
        </w:tabs>
        <w:spacing w:after="120"/>
        <w:ind w:right="408"/>
      </w:pPr>
      <w:r>
        <w:t>Κατά την εφαρμογή του υπολογισμού του ελλείμματος χρηματοδότησης για τον καθορισμό του μέγιστου ποσού αντιστάθμισης ΥΓΟΣ, αυτό ευθυγραμμίζεται κανονικά με την περίοδο απόσβεσης των στοιχείων ενεργητικού που σχετίζονται με τις ΥΓΟΣ. Όταν η περίοδος ανάθεσης ΥΓΟΣ είναι μικρότερη από την περίοδο απόσβεσης, η περίοδος που χρησιμοποιείται για τον υπολογισμό του κενού χρηματοδότησης είναι συνήθης ώστε να ευθυγραμμίζεται με την περίοδο ανάθεσης ΥΓΟΣ. Ο πίνακας 5 παρέχει επισκόπηση της εκτίμησης κινδύνου όσον αφορά την πιθανή υπεραντιστάθμιση λαμβάνοντας υπόψη τη χρονική περίοδο που χρησιμοποιείται για τον υπολογισμό του ελλείμματος χρηματοδότησης και την πραγματική περίοδο ανάθεσης ΥΓΟΣ.</w:t>
      </w:r>
    </w:p>
    <w:p w14:paraId="4E126CEA" w14:textId="77777777" w:rsidR="007B1A84" w:rsidRDefault="007B1A84" w:rsidP="003E0C33">
      <w:pPr>
        <w:pStyle w:val="BodyText"/>
        <w:spacing w:after="120"/>
      </w:pPr>
    </w:p>
    <w:p w14:paraId="33E93EC0" w14:textId="77777777" w:rsidR="007B1A84" w:rsidRDefault="002A0261" w:rsidP="003E0C33">
      <w:pPr>
        <w:pStyle w:val="P68B1DB1-a12"/>
        <w:spacing w:after="120"/>
        <w:ind w:left="25"/>
      </w:pPr>
      <w:r>
        <w:t>Πίνακας</w:t>
      </w:r>
      <w:r>
        <w:t xml:space="preserve"> 5: </w:t>
      </w:r>
      <w:r>
        <w:t>Περίοδος</w:t>
      </w:r>
      <w:r>
        <w:t xml:space="preserve"> </w:t>
      </w:r>
      <w:r>
        <w:t>υπολογισμού</w:t>
      </w:r>
      <w:r>
        <w:t xml:space="preserve"> </w:t>
      </w:r>
      <w:r>
        <w:t>του</w:t>
      </w:r>
      <w:r>
        <w:t xml:space="preserve"> </w:t>
      </w:r>
      <w:r>
        <w:t>ελλείμματος</w:t>
      </w:r>
      <w:r>
        <w:t xml:space="preserve"> </w:t>
      </w:r>
      <w:r>
        <w:t>χρηματοδότησης</w:t>
      </w:r>
      <w:r>
        <w:t xml:space="preserve"> </w:t>
      </w:r>
      <w:r>
        <w:t>και</w:t>
      </w:r>
      <w:r>
        <w:t xml:space="preserve"> </w:t>
      </w:r>
      <w:r>
        <w:t>περίοδος</w:t>
      </w:r>
      <w:r>
        <w:t xml:space="preserve"> </w:t>
      </w:r>
      <w:r>
        <w:t>ανάθεσης</w:t>
      </w:r>
      <w:r>
        <w:t xml:space="preserve"> </w:t>
      </w:r>
      <w:r>
        <w:t>ΥΓΟΣ</w:t>
      </w:r>
    </w:p>
    <w:tbl>
      <w:tblPr>
        <w:tblStyle w:val="TableNormal1"/>
        <w:tblW w:w="0" w:type="auto"/>
        <w:tblInd w:w="-10" w:type="dxa"/>
        <w:tblBorders>
          <w:top w:val="single" w:sz="8" w:space="0" w:color="B6DDE8"/>
          <w:left w:val="single" w:sz="8" w:space="0" w:color="B6DDE8"/>
          <w:bottom w:val="single" w:sz="8" w:space="0" w:color="B6DDE8"/>
          <w:right w:val="single" w:sz="8" w:space="0" w:color="B6DDE8"/>
          <w:insideH w:val="single" w:sz="8" w:space="0" w:color="B6DDE8"/>
          <w:insideV w:val="single" w:sz="8" w:space="0" w:color="B6DDE8"/>
        </w:tblBorders>
        <w:tblLayout w:type="fixed"/>
        <w:tblLook w:val="01E0" w:firstRow="1" w:lastRow="1" w:firstColumn="1" w:lastColumn="1" w:noHBand="0" w:noVBand="0"/>
      </w:tblPr>
      <w:tblGrid>
        <w:gridCol w:w="2105"/>
        <w:gridCol w:w="1955"/>
        <w:gridCol w:w="5030"/>
      </w:tblGrid>
      <w:tr w:rsidR="007B1A84" w14:paraId="5CA7A70D" w14:textId="77777777" w:rsidTr="001613E6">
        <w:trPr>
          <w:trHeight w:val="524"/>
          <w:tblHeader/>
        </w:trPr>
        <w:tc>
          <w:tcPr>
            <w:tcW w:w="2105" w:type="dxa"/>
            <w:tcBorders>
              <w:bottom w:val="single" w:sz="8" w:space="0" w:color="92CDDC"/>
            </w:tcBorders>
            <w:shd w:val="clear" w:color="auto" w:fill="F9BE8F"/>
            <w:vAlign w:val="center"/>
          </w:tcPr>
          <w:p w14:paraId="5C37355F" w14:textId="77777777" w:rsidR="007B1A84" w:rsidRDefault="002A0261" w:rsidP="005B4E6D">
            <w:pPr>
              <w:pStyle w:val="P68B1DB1-TableParagraph15"/>
              <w:spacing w:after="120"/>
              <w:ind w:left="262" w:right="243"/>
              <w:jc w:val="center"/>
            </w:pPr>
            <w:r>
              <w:t>Περίοδος</w:t>
            </w:r>
            <w:r>
              <w:t xml:space="preserve"> </w:t>
            </w:r>
            <w:r>
              <w:t>υπολογισμού</w:t>
            </w:r>
            <w:r>
              <w:t xml:space="preserve"> </w:t>
            </w:r>
            <w:r>
              <w:t>του</w:t>
            </w:r>
            <w:r>
              <w:t xml:space="preserve"> </w:t>
            </w:r>
            <w:r>
              <w:t>κενού</w:t>
            </w:r>
            <w:r>
              <w:t xml:space="preserve"> </w:t>
            </w:r>
            <w:r>
              <w:t>χρηματοδότησης</w:t>
            </w:r>
          </w:p>
        </w:tc>
        <w:tc>
          <w:tcPr>
            <w:tcW w:w="1955" w:type="dxa"/>
            <w:tcBorders>
              <w:bottom w:val="single" w:sz="8" w:space="0" w:color="92CDDC"/>
            </w:tcBorders>
            <w:shd w:val="clear" w:color="auto" w:fill="F9BE8F"/>
            <w:vAlign w:val="center"/>
          </w:tcPr>
          <w:p w14:paraId="4D077685" w14:textId="77777777" w:rsidR="007B1A84" w:rsidRDefault="002A0261" w:rsidP="005B4E6D">
            <w:pPr>
              <w:pStyle w:val="P68B1DB1-TableParagraph15"/>
              <w:spacing w:after="120"/>
              <w:ind w:left="150"/>
              <w:jc w:val="center"/>
            </w:pPr>
            <w:r>
              <w:t>Περίοδος</w:t>
            </w:r>
            <w:r>
              <w:t xml:space="preserve"> </w:t>
            </w:r>
            <w:r>
              <w:t>ανάθεσης</w:t>
            </w:r>
          </w:p>
        </w:tc>
        <w:tc>
          <w:tcPr>
            <w:tcW w:w="5030" w:type="dxa"/>
            <w:tcBorders>
              <w:bottom w:val="single" w:sz="8" w:space="0" w:color="92CDDC"/>
            </w:tcBorders>
            <w:shd w:val="clear" w:color="auto" w:fill="F9BE8F"/>
            <w:vAlign w:val="center"/>
          </w:tcPr>
          <w:p w14:paraId="325AB392" w14:textId="77777777" w:rsidR="007B1A84" w:rsidRDefault="002A0261" w:rsidP="005B4E6D">
            <w:pPr>
              <w:pStyle w:val="P68B1DB1-TableParagraph15"/>
              <w:spacing w:after="120"/>
              <w:ind w:left="183"/>
              <w:jc w:val="center"/>
            </w:pPr>
            <w:r>
              <w:t>Επιστροφή</w:t>
            </w:r>
            <w:r>
              <w:t xml:space="preserve"> </w:t>
            </w:r>
            <w:r>
              <w:t>υπεραντιστάθμισης</w:t>
            </w:r>
          </w:p>
        </w:tc>
      </w:tr>
      <w:tr w:rsidR="007B1A84" w14:paraId="7FF81DDF" w14:textId="77777777" w:rsidTr="00652CB1">
        <w:trPr>
          <w:trHeight w:val="2462"/>
        </w:trPr>
        <w:tc>
          <w:tcPr>
            <w:tcW w:w="2105" w:type="dxa"/>
            <w:tcBorders>
              <w:top w:val="single" w:sz="8" w:space="0" w:color="92CDDC"/>
            </w:tcBorders>
          </w:tcPr>
          <w:p w14:paraId="26C094B6" w14:textId="77777777" w:rsidR="007B1A84" w:rsidRDefault="002A0261" w:rsidP="003E0C33">
            <w:pPr>
              <w:pStyle w:val="P68B1DB1-TableParagraph13"/>
              <w:spacing w:after="120"/>
              <w:ind w:left="118"/>
            </w:pPr>
            <w:r>
              <w:t>10 έτη</w:t>
            </w:r>
          </w:p>
        </w:tc>
        <w:tc>
          <w:tcPr>
            <w:tcW w:w="1955" w:type="dxa"/>
            <w:tcBorders>
              <w:top w:val="single" w:sz="8" w:space="0" w:color="92CDDC"/>
            </w:tcBorders>
          </w:tcPr>
          <w:p w14:paraId="4515CEAD" w14:textId="77777777" w:rsidR="007B1A84" w:rsidRDefault="002A0261" w:rsidP="003E0C33">
            <w:pPr>
              <w:pStyle w:val="P68B1DB1-TableParagraph13"/>
              <w:spacing w:after="120"/>
              <w:ind w:left="118"/>
            </w:pPr>
            <w:r>
              <w:t>10 έτη</w:t>
            </w:r>
          </w:p>
        </w:tc>
        <w:tc>
          <w:tcPr>
            <w:tcW w:w="5030" w:type="dxa"/>
            <w:tcBorders>
              <w:top w:val="single" w:sz="8" w:space="0" w:color="92CDDC"/>
            </w:tcBorders>
          </w:tcPr>
          <w:p w14:paraId="70A6A467" w14:textId="77777777" w:rsidR="007B1A84" w:rsidRDefault="002A0261" w:rsidP="003E0C33">
            <w:pPr>
              <w:pStyle w:val="P68B1DB1-TableParagraph13"/>
              <w:spacing w:after="120"/>
              <w:ind w:left="101" w:right="95"/>
              <w:jc w:val="both"/>
            </w:pPr>
            <w:r>
              <w:t>Για να αποφευχθεί η επιστροφή της υπεραντιστάθμισης σε σχέση με το επενδυτικό κόστος, η περίοδος υπολογισμού του κενού χρηματοδότησης θα πρέπει να ευθυγραμμιστεί με την περίοδο της αναμενόμενης ανάθεσης ΥΓΟΣ. Κατ’ αυτόν τον τρόπο, η αντιστάθμιση θα καθορίζεται μόνο για την περίοδο οικονομικής χρησιμοποίησης του στοιχείου ενεργητικού που συνδέεται με την περίοδο ανάθεσης ΥΓΟΣ.</w:t>
            </w:r>
          </w:p>
          <w:p w14:paraId="43FDF04A" w14:textId="77777777" w:rsidR="007B1A84" w:rsidRDefault="002A0261" w:rsidP="003E0C33">
            <w:pPr>
              <w:pStyle w:val="P68B1DB1-TableParagraph13"/>
              <w:spacing w:after="120"/>
              <w:ind w:left="101" w:right="93"/>
              <w:jc w:val="both"/>
            </w:pPr>
            <w:r>
              <w:rPr>
                <w:rFonts w:ascii="Arial"/>
                <w:i/>
              </w:rPr>
              <w:t>Ο</w:t>
            </w:r>
            <w:r>
              <w:rPr>
                <w:rFonts w:ascii="Arial"/>
                <w:i/>
              </w:rPr>
              <w:t xml:space="preserve"> </w:t>
            </w:r>
            <w:r>
              <w:rPr>
                <w:rFonts w:ascii="Arial"/>
                <w:i/>
              </w:rPr>
              <w:t>μηχανισμός</w:t>
            </w:r>
            <w:r>
              <w:rPr>
                <w:rFonts w:ascii="Arial"/>
                <w:i/>
              </w:rPr>
              <w:t xml:space="preserve"> </w:t>
            </w:r>
            <w:r>
              <w:rPr>
                <w:rFonts w:ascii="Arial"/>
                <w:i/>
              </w:rPr>
              <w:t>ανάκτησης</w:t>
            </w:r>
            <w:r>
              <w:rPr>
                <w:rFonts w:ascii="Arial"/>
                <w:i/>
              </w:rPr>
              <w:t xml:space="preserve"> </w:t>
            </w:r>
            <w:r>
              <w:t xml:space="preserve">θα εξακολουθούσε να ισχύει, πράγμα που σημαίνει ότι ο επανυπολογισμός του χρηματοδοτικού κενού θα πρέπει να πραγματοποιηθεί στο τέλος της περιόδου ανάθεσης ΥΓΟΣ προκειμένου να ληφθούν υπόψη τα πραγματικά κέρδη και οι δαπάνες που συνδέονται με τη χρησιμοποίηση ενός </w:t>
            </w:r>
            <w:r>
              <w:lastRenderedPageBreak/>
              <w:t>περιουσιακού στοιχείου για την παροχή ΥΓΟΣ.</w:t>
            </w:r>
          </w:p>
        </w:tc>
      </w:tr>
      <w:tr w:rsidR="007B1A84" w14:paraId="6FF954A5" w14:textId="77777777" w:rsidTr="00652CB1">
        <w:trPr>
          <w:trHeight w:val="2927"/>
        </w:trPr>
        <w:tc>
          <w:tcPr>
            <w:tcW w:w="2105" w:type="dxa"/>
          </w:tcPr>
          <w:p w14:paraId="6C9EEFCA" w14:textId="77777777" w:rsidR="007B1A84" w:rsidRDefault="002A0261" w:rsidP="003E0C33">
            <w:pPr>
              <w:pStyle w:val="P68B1DB1-TableParagraph13"/>
              <w:spacing w:after="120"/>
              <w:ind w:left="118" w:right="81"/>
              <w:jc w:val="both"/>
            </w:pPr>
            <w:r>
              <w:lastRenderedPageBreak/>
              <w:t>25 έτη (ή άλλη περίοδος οικονομικής χρησιμοποίησης ενός περιουσιακού στοιχείου)</w:t>
            </w:r>
          </w:p>
        </w:tc>
        <w:tc>
          <w:tcPr>
            <w:tcW w:w="1955" w:type="dxa"/>
          </w:tcPr>
          <w:p w14:paraId="28621B49" w14:textId="77777777" w:rsidR="007B1A84" w:rsidRDefault="002A0261" w:rsidP="003E0C33">
            <w:pPr>
              <w:pStyle w:val="P68B1DB1-TableParagraph13"/>
              <w:spacing w:after="120"/>
              <w:ind w:left="118"/>
            </w:pPr>
            <w:r>
              <w:t>10 έτη</w:t>
            </w:r>
          </w:p>
        </w:tc>
        <w:tc>
          <w:tcPr>
            <w:tcW w:w="5030" w:type="dxa"/>
          </w:tcPr>
          <w:p w14:paraId="56BD7F95" w14:textId="77777777" w:rsidR="007B1A84" w:rsidRDefault="002A0261" w:rsidP="003E0C33">
            <w:pPr>
              <w:pStyle w:val="P68B1DB1-TableParagraph13"/>
              <w:spacing w:after="120"/>
              <w:ind w:left="101" w:right="94"/>
              <w:jc w:val="both"/>
            </w:pPr>
            <w:r>
              <w:t>Εάν μπορεί ευλόγως να υποτεθεί ότι η υπηρεσία θα συνεχιστεί ως ΥΓΟΣ μετά (π.χ.) 10 έτη και η ανάθεση θα χορηγηθεί στον ίδιο πάροχο ΥΓΟΣ, θα μπορούσε να καθοριστεί αντιστάθμιση για επένδυση στην υποδομή/εξοπλισμό για τη συνολική περίοδο οικονομικής χρήσης του περιουσιακού στοιχείου, ακόμη και αν είναι μεγαλύτερη από την αρχική περίοδο ανάθεσης ΥΓΟΣ.</w:t>
            </w:r>
          </w:p>
          <w:p w14:paraId="3ED45C95" w14:textId="77777777" w:rsidR="007B1A84" w:rsidRDefault="002A0261" w:rsidP="003E0C33">
            <w:pPr>
              <w:pStyle w:val="P68B1DB1-TableParagraph13"/>
              <w:spacing w:after="120"/>
              <w:ind w:left="101" w:right="95"/>
              <w:jc w:val="both"/>
            </w:pPr>
            <w:r>
              <w:t>Ενδέχεται να απαιτηθεί εκ νέου υπολογισμός του χρηματοδοτικού κενού καθώς και επαναξιολόγηση του πραγματικού ποσού αντιστάθμισης στο τέλος κάθε διαδοχικής περιόδου ανάθεσης ΥΓΟΣ.</w:t>
            </w:r>
          </w:p>
          <w:p w14:paraId="73F097B8" w14:textId="77777777" w:rsidR="007B1A84" w:rsidRDefault="002A0261" w:rsidP="003E0C33">
            <w:pPr>
              <w:pStyle w:val="P68B1DB1-TableParagraph13"/>
              <w:spacing w:after="120"/>
              <w:ind w:left="101" w:right="92"/>
              <w:jc w:val="both"/>
            </w:pPr>
            <w:r>
              <w:t>Μπορεί να εφαρμοστεί ανάκτηση υπερβολικής αντιστάθμισης (υπεραντιστάθμιση), όταν η ανάθεση δεν παρατείνεται πέραν της αρχικής περιόδου ανάθεσης ΥΓΟΣ.</w:t>
            </w:r>
          </w:p>
        </w:tc>
      </w:tr>
      <w:tr w:rsidR="007B1A84" w14:paraId="32C4184C" w14:textId="77777777" w:rsidTr="00652CB1">
        <w:trPr>
          <w:trHeight w:val="1148"/>
        </w:trPr>
        <w:tc>
          <w:tcPr>
            <w:tcW w:w="2105" w:type="dxa"/>
            <w:tcBorders>
              <w:top w:val="single" w:sz="8" w:space="0" w:color="92CDDC"/>
            </w:tcBorders>
          </w:tcPr>
          <w:p w14:paraId="0AFAEA6E" w14:textId="77777777" w:rsidR="007B1A84" w:rsidRDefault="002A0261" w:rsidP="003E0C33">
            <w:pPr>
              <w:pStyle w:val="P68B1DB1-TableParagraph13"/>
              <w:spacing w:after="120"/>
              <w:ind w:left="118" w:right="81"/>
              <w:jc w:val="both"/>
            </w:pPr>
            <w:r>
              <w:t>25 έτη (ή άλλη περίοδος οικονομικής χρησιμοποίησης ενός περιουσιακού στοιχείου)</w:t>
            </w:r>
          </w:p>
        </w:tc>
        <w:tc>
          <w:tcPr>
            <w:tcW w:w="1955" w:type="dxa"/>
            <w:tcBorders>
              <w:top w:val="single" w:sz="8" w:space="0" w:color="92CDDC"/>
            </w:tcBorders>
          </w:tcPr>
          <w:p w14:paraId="57002E5D" w14:textId="77777777" w:rsidR="007B1A84" w:rsidRDefault="002A0261" w:rsidP="003E0C33">
            <w:pPr>
              <w:pStyle w:val="P68B1DB1-TableParagraph13"/>
              <w:spacing w:after="120"/>
              <w:ind w:left="118" w:right="85"/>
              <w:jc w:val="both"/>
            </w:pPr>
            <w:r>
              <w:t>25 έτη (ή άλλη περίοδο οικονομικής αξιοποίησης του περιουσιακού στοιχείου)</w:t>
            </w:r>
          </w:p>
        </w:tc>
        <w:tc>
          <w:tcPr>
            <w:tcW w:w="5030" w:type="dxa"/>
            <w:tcBorders>
              <w:top w:val="single" w:sz="8" w:space="0" w:color="92CDDC"/>
            </w:tcBorders>
          </w:tcPr>
          <w:p w14:paraId="3CFF8CAA" w14:textId="77777777" w:rsidR="007B1A84" w:rsidRDefault="002A0261" w:rsidP="003E0C33">
            <w:pPr>
              <w:pStyle w:val="P68B1DB1-TableParagraph13"/>
              <w:spacing w:after="120"/>
              <w:ind w:left="101" w:right="84"/>
              <w:jc w:val="both"/>
            </w:pPr>
            <w:r>
              <w:t>Ο μηχανισμός ανάκτησης θα εξακολουθήσει να εφαρμόζεται, δεδομένου ότι ένας τέτοιος επανυπολογισμός του χρηματοδοτικού κενού θα πρέπει να πραγματοποιηθεί στο τέλος της περιόδου ανάθεσης ΥΓΟΣ προκειμένου να ληφθούν υπόψη τα πραγματικά κέρδη και οι δαπάνες που συνδέονται με τη χρησιμοποίηση ενός στοιχείου ενεργητικού για την παροχή της ΥΓΟΣ.</w:t>
            </w:r>
          </w:p>
        </w:tc>
      </w:tr>
    </w:tbl>
    <w:p w14:paraId="119E3D02" w14:textId="77777777" w:rsidR="007B1A84" w:rsidRDefault="007B1A84" w:rsidP="003E0C33">
      <w:pPr>
        <w:pStyle w:val="BodyText"/>
        <w:spacing w:after="120"/>
        <w:rPr>
          <w:rFonts w:ascii="Arial"/>
          <w:b/>
        </w:rPr>
      </w:pPr>
    </w:p>
    <w:p w14:paraId="7E974286" w14:textId="77777777" w:rsidR="007B1A84" w:rsidRDefault="002A0261" w:rsidP="003E0C33">
      <w:pPr>
        <w:pStyle w:val="Heading7"/>
        <w:spacing w:after="120"/>
      </w:pPr>
      <w:r>
        <w:t>Έλεγχος και ανάκτηση υπεραντιστάθμισης</w:t>
      </w:r>
    </w:p>
    <w:p w14:paraId="0BE015DB" w14:textId="130EDEE8" w:rsidR="007B1A84" w:rsidRDefault="002A0261" w:rsidP="003E0C33">
      <w:pPr>
        <w:pStyle w:val="P68B1DB1-a58"/>
        <w:numPr>
          <w:ilvl w:val="0"/>
          <w:numId w:val="25"/>
        </w:numPr>
        <w:tabs>
          <w:tab w:val="left" w:pos="391"/>
          <w:tab w:val="left" w:pos="393"/>
        </w:tabs>
        <w:spacing w:after="120"/>
        <w:ind w:right="421"/>
        <w:rPr>
          <w:rFonts w:ascii="Arial"/>
          <w:b/>
        </w:rPr>
      </w:pPr>
      <w:r>
        <w:t>Ένας πάροχος ΥΓΟΣ δεν μπορεί να λάβει αποζημίωση πέραν της αντιστάθμισης του καθαρού κόστους που συνδέεται με την παροχή ΥΓΟΣ, στο οποίο μπορεί να προστεθεί εύλογο κέρδος. Οι</w:t>
      </w:r>
      <w:r w:rsidR="00652CB1">
        <w:rPr>
          <w:lang w:val="el-GR"/>
        </w:rPr>
        <w:t xml:space="preserve"> </w:t>
      </w:r>
      <w:r>
        <w:rPr>
          <w:rFonts w:ascii="Arial"/>
          <w:b/>
          <w:i/>
        </w:rPr>
        <w:t>αρχές</w:t>
      </w:r>
      <w:r>
        <w:rPr>
          <w:rFonts w:ascii="Arial"/>
          <w:b/>
          <w:i/>
        </w:rPr>
        <w:t xml:space="preserve"> </w:t>
      </w:r>
      <w:r>
        <w:rPr>
          <w:rFonts w:ascii="Arial"/>
          <w:b/>
          <w:i/>
        </w:rPr>
        <w:t>των</w:t>
      </w:r>
      <w:r>
        <w:rPr>
          <w:rFonts w:ascii="Arial"/>
          <w:b/>
          <w:i/>
        </w:rPr>
        <w:t xml:space="preserve"> </w:t>
      </w:r>
      <w:r>
        <w:rPr>
          <w:rFonts w:ascii="Arial"/>
          <w:b/>
          <w:i/>
        </w:rPr>
        <w:t>κρατών</w:t>
      </w:r>
      <w:r>
        <w:rPr>
          <w:rFonts w:ascii="Arial"/>
          <w:b/>
          <w:i/>
        </w:rPr>
        <w:t xml:space="preserve"> </w:t>
      </w:r>
      <w:r>
        <w:rPr>
          <w:rFonts w:ascii="Arial"/>
          <w:b/>
          <w:i/>
        </w:rPr>
        <w:t>μελών</w:t>
      </w:r>
      <w:r>
        <w:rPr>
          <w:rFonts w:ascii="Arial"/>
          <w:b/>
          <w:i/>
        </w:rPr>
        <w:t xml:space="preserve"> </w:t>
      </w:r>
      <w:r>
        <w:rPr>
          <w:rFonts w:ascii="Arial"/>
          <w:b/>
          <w:i/>
        </w:rPr>
        <w:t>πρέπει</w:t>
      </w:r>
      <w:r>
        <w:rPr>
          <w:rFonts w:ascii="Arial"/>
          <w:b/>
          <w:i/>
        </w:rPr>
        <w:t xml:space="preserve"> </w:t>
      </w:r>
      <w:r>
        <w:rPr>
          <w:rFonts w:ascii="Arial"/>
          <w:b/>
          <w:i/>
        </w:rPr>
        <w:t>να</w:t>
      </w:r>
      <w:r>
        <w:rPr>
          <w:rFonts w:ascii="Arial"/>
          <w:b/>
          <w:i/>
        </w:rPr>
        <w:t xml:space="preserve"> </w:t>
      </w:r>
      <w:r>
        <w:rPr>
          <w:rFonts w:ascii="Arial"/>
          <w:b/>
          <w:i/>
        </w:rPr>
        <w:t>μεταφέρουν</w:t>
      </w:r>
      <w:r>
        <w:rPr>
          <w:rFonts w:ascii="Arial"/>
          <w:b/>
          <w:i/>
        </w:rPr>
        <w:t xml:space="preserve"> </w:t>
      </w:r>
      <w:r>
        <w:rPr>
          <w:rFonts w:ascii="Arial"/>
          <w:b/>
          <w:i/>
        </w:rPr>
        <w:t>ελέγχους</w:t>
      </w:r>
      <w:r>
        <w:rPr>
          <w:rFonts w:ascii="Arial"/>
          <w:b/>
          <w:i/>
        </w:rPr>
        <w:t xml:space="preserve"> </w:t>
      </w:r>
      <w:r>
        <w:rPr>
          <w:rFonts w:ascii="Arial"/>
          <w:b/>
          <w:i/>
        </w:rPr>
        <w:t>υπεραντιστάθμισης</w:t>
      </w:r>
      <w:r>
        <w:rPr>
          <w:rFonts w:ascii="Arial"/>
          <w:b/>
          <w:i/>
        </w:rPr>
        <w:t xml:space="preserve"> </w:t>
      </w:r>
      <w:r>
        <w:rPr>
          <w:rFonts w:ascii="Arial"/>
          <w:b/>
          <w:i/>
        </w:rPr>
        <w:t>σε</w:t>
      </w:r>
      <w:r>
        <w:rPr>
          <w:rFonts w:ascii="Arial"/>
          <w:b/>
          <w:i/>
        </w:rPr>
        <w:t xml:space="preserve"> </w:t>
      </w:r>
      <w:r>
        <w:rPr>
          <w:rFonts w:ascii="Arial"/>
          <w:b/>
          <w:i/>
        </w:rPr>
        <w:t>ετήσια</w:t>
      </w:r>
      <w:r>
        <w:rPr>
          <w:rFonts w:ascii="Arial"/>
          <w:b/>
          <w:i/>
        </w:rPr>
        <w:t xml:space="preserve"> </w:t>
      </w:r>
      <w:r>
        <w:rPr>
          <w:rFonts w:ascii="Arial"/>
          <w:b/>
          <w:i/>
        </w:rPr>
        <w:t>βάση</w:t>
      </w:r>
      <w:r>
        <w:rPr>
          <w:rFonts w:ascii="Arial"/>
          <w:b/>
          <w:i/>
        </w:rPr>
        <w:t xml:space="preserve"> </w:t>
      </w:r>
      <w:r>
        <w:rPr>
          <w:rFonts w:ascii="Arial"/>
          <w:b/>
          <w:i/>
        </w:rPr>
        <w:t>ή</w:t>
      </w:r>
      <w:r>
        <w:rPr>
          <w:rFonts w:ascii="Arial"/>
          <w:b/>
          <w:i/>
        </w:rPr>
        <w:t xml:space="preserve"> </w:t>
      </w:r>
      <w:r>
        <w:rPr>
          <w:rFonts w:ascii="Arial"/>
          <w:b/>
          <w:i/>
        </w:rPr>
        <w:t>τουλάχιστον</w:t>
      </w:r>
      <w:r>
        <w:rPr>
          <w:rFonts w:ascii="Arial"/>
          <w:b/>
          <w:i/>
        </w:rPr>
        <w:t xml:space="preserve"> </w:t>
      </w:r>
      <w:r>
        <w:rPr>
          <w:rFonts w:ascii="Arial"/>
          <w:b/>
          <w:i/>
        </w:rPr>
        <w:t>ανά</w:t>
      </w:r>
      <w:r>
        <w:rPr>
          <w:rFonts w:ascii="Arial"/>
          <w:b/>
          <w:i/>
        </w:rPr>
        <w:t xml:space="preserve"> </w:t>
      </w:r>
      <w:r>
        <w:rPr>
          <w:rFonts w:ascii="Arial"/>
          <w:b/>
          <w:i/>
        </w:rPr>
        <w:t>τριετία</w:t>
      </w:r>
      <w:r>
        <w:rPr>
          <w:rFonts w:ascii="Arial"/>
          <w:b/>
          <w:i/>
        </w:rPr>
        <w:t xml:space="preserve"> </w:t>
      </w:r>
      <w:r>
        <w:rPr>
          <w:rFonts w:ascii="Arial"/>
          <w:b/>
          <w:i/>
        </w:rPr>
        <w:t>κατά</w:t>
      </w:r>
      <w:r>
        <w:rPr>
          <w:rFonts w:ascii="Arial"/>
          <w:b/>
          <w:i/>
        </w:rPr>
        <w:t xml:space="preserve"> </w:t>
      </w:r>
      <w:r>
        <w:rPr>
          <w:rFonts w:ascii="Arial"/>
          <w:b/>
          <w:i/>
        </w:rPr>
        <w:t>τη</w:t>
      </w:r>
      <w:r>
        <w:rPr>
          <w:rFonts w:ascii="Arial"/>
          <w:b/>
          <w:i/>
        </w:rPr>
        <w:t xml:space="preserve"> </w:t>
      </w:r>
      <w:r>
        <w:rPr>
          <w:rFonts w:ascii="Arial"/>
          <w:b/>
          <w:i/>
        </w:rPr>
        <w:t>διάρκεια</w:t>
      </w:r>
      <w:r>
        <w:rPr>
          <w:rFonts w:ascii="Arial"/>
          <w:b/>
          <w:i/>
        </w:rPr>
        <w:t xml:space="preserve"> </w:t>
      </w:r>
      <w:r>
        <w:rPr>
          <w:rFonts w:ascii="Arial"/>
          <w:b/>
          <w:i/>
        </w:rPr>
        <w:t>της</w:t>
      </w:r>
      <w:r>
        <w:rPr>
          <w:rFonts w:ascii="Arial"/>
          <w:b/>
          <w:i/>
        </w:rPr>
        <w:t xml:space="preserve"> </w:t>
      </w:r>
      <w:r>
        <w:rPr>
          <w:rFonts w:ascii="Arial"/>
          <w:b/>
          <w:i/>
        </w:rPr>
        <w:t>περιόδου</w:t>
      </w:r>
      <w:r>
        <w:rPr>
          <w:rFonts w:ascii="Arial"/>
          <w:b/>
          <w:i/>
        </w:rPr>
        <w:t xml:space="preserve"> </w:t>
      </w:r>
      <w:r>
        <w:rPr>
          <w:rFonts w:ascii="Arial"/>
          <w:b/>
          <w:i/>
        </w:rPr>
        <w:t>ανάθεσης</w:t>
      </w:r>
      <w:r>
        <w:rPr>
          <w:rFonts w:ascii="Arial"/>
          <w:b/>
          <w:i/>
        </w:rPr>
        <w:t xml:space="preserve"> </w:t>
      </w:r>
      <w:r>
        <w:rPr>
          <w:rFonts w:ascii="Arial"/>
          <w:b/>
          <w:i/>
        </w:rPr>
        <w:t>ΥΓΟΣ</w:t>
      </w:r>
      <w:r>
        <w:rPr>
          <w:rFonts w:ascii="Arial"/>
          <w:b/>
          <w:i/>
        </w:rPr>
        <w:t xml:space="preserve"> </w:t>
      </w:r>
      <w:r>
        <w:rPr>
          <w:rFonts w:ascii="Arial"/>
          <w:b/>
          <w:i/>
        </w:rPr>
        <w:t>και</w:t>
      </w:r>
      <w:r>
        <w:rPr>
          <w:rFonts w:ascii="Arial"/>
          <w:b/>
          <w:i/>
        </w:rPr>
        <w:t xml:space="preserve"> </w:t>
      </w:r>
      <w:r>
        <w:rPr>
          <w:rFonts w:ascii="Arial"/>
          <w:b/>
          <w:i/>
        </w:rPr>
        <w:t>στο</w:t>
      </w:r>
      <w:r>
        <w:rPr>
          <w:rFonts w:ascii="Arial"/>
          <w:b/>
          <w:i/>
        </w:rPr>
        <w:t xml:space="preserve"> </w:t>
      </w:r>
      <w:r>
        <w:rPr>
          <w:rFonts w:ascii="Arial"/>
          <w:b/>
          <w:i/>
        </w:rPr>
        <w:t>τέλος</w:t>
      </w:r>
      <w:r>
        <w:rPr>
          <w:rFonts w:ascii="Arial"/>
          <w:b/>
          <w:i/>
        </w:rPr>
        <w:t xml:space="preserve"> </w:t>
      </w:r>
      <w:r>
        <w:rPr>
          <w:rFonts w:ascii="Arial"/>
          <w:b/>
          <w:i/>
        </w:rPr>
        <w:t>της</w:t>
      </w:r>
      <w:r>
        <w:rPr>
          <w:rFonts w:ascii="Arial"/>
          <w:b/>
          <w:i/>
        </w:rPr>
        <w:t xml:space="preserve"> </w:t>
      </w:r>
      <w:r>
        <w:rPr>
          <w:rFonts w:ascii="Arial"/>
          <w:b/>
          <w:i/>
        </w:rPr>
        <w:t>περιόδου</w:t>
      </w:r>
      <w:r>
        <w:rPr>
          <w:rFonts w:ascii="Arial"/>
          <w:b/>
          <w:i/>
        </w:rPr>
        <w:t xml:space="preserve"> </w:t>
      </w:r>
      <w:r>
        <w:rPr>
          <w:rFonts w:ascii="Arial"/>
          <w:b/>
          <w:i/>
        </w:rPr>
        <w:t>ανάθεσης</w:t>
      </w:r>
      <w:r>
        <w:rPr>
          <w:rFonts w:ascii="Arial"/>
          <w:b/>
          <w:i/>
        </w:rPr>
        <w:t xml:space="preserve"> </w:t>
      </w:r>
      <w:r>
        <w:rPr>
          <w:rFonts w:ascii="Arial"/>
          <w:b/>
          <w:i/>
        </w:rPr>
        <w:t>ΥΓΟΣ</w:t>
      </w:r>
      <w:r>
        <w:rPr>
          <w:rFonts w:ascii="Arial"/>
          <w:b/>
        </w:rPr>
        <w:t>.</w:t>
      </w:r>
    </w:p>
    <w:p w14:paraId="2EB319BF" w14:textId="77777777" w:rsidR="007B1A84" w:rsidRDefault="002A0261" w:rsidP="003E0C33">
      <w:pPr>
        <w:pStyle w:val="P68B1DB1-a58"/>
        <w:numPr>
          <w:ilvl w:val="0"/>
          <w:numId w:val="25"/>
        </w:numPr>
        <w:tabs>
          <w:tab w:val="left" w:pos="391"/>
          <w:tab w:val="left" w:pos="393"/>
        </w:tabs>
        <w:spacing w:after="120"/>
        <w:ind w:right="410"/>
      </w:pPr>
      <w:r>
        <w:t xml:space="preserve">Η επιστροφή της υπεραντιστάθμισης επηρεάζει επίσης την αντιστάθμιση που χορηγείται για την κάλυψη των επενδυτικών δαπανών σε υποδομές/εξοπλισμό. Σύμφωνα με τον </w:t>
      </w:r>
      <w:r>
        <w:rPr>
          <w:rFonts w:ascii="Arial"/>
          <w:i/>
        </w:rPr>
        <w:t>μηχανισμό</w:t>
      </w:r>
      <w:r>
        <w:rPr>
          <w:rFonts w:ascii="Arial"/>
          <w:i/>
        </w:rPr>
        <w:t xml:space="preserve"> </w:t>
      </w:r>
      <w:r>
        <w:rPr>
          <w:rFonts w:ascii="Arial"/>
          <w:i/>
        </w:rPr>
        <w:t>ανάκτησης</w:t>
      </w:r>
      <w:r>
        <w:t>, στο τέλος της διάρκειας ζωής ενός περιουσιακού στοιχείου (περίοδος οικονομικής χρήσης του περιουσιακού στοιχείου), θα πρέπει να γίνεται επανυπολογισμός του ελλείμματος χρηματοδότησης ώστε να λαμβάνονται υπόψη τα πραγματικά κέρδη και οι δαπάνες, καθώς και η πραγματική χρήση του περιουσιακού στοιχείου για την παροχή της ΥΓΟΣ. Όταν η περίοδος ανάθεσης ΥΓΟΣ είναι μικρότερη από τη διάρκεια ζωής ενός περιουσιακού στοιχείου</w:t>
      </w:r>
      <w:r>
        <w:rPr>
          <w:rFonts w:ascii="Arial"/>
          <w:i/>
        </w:rPr>
        <w:t xml:space="preserve">, </w:t>
      </w:r>
      <w:r>
        <w:rPr>
          <w:rFonts w:ascii="Arial"/>
          <w:i/>
        </w:rPr>
        <w:t>ο</w:t>
      </w:r>
      <w:r>
        <w:rPr>
          <w:rFonts w:ascii="Arial"/>
          <w:i/>
        </w:rPr>
        <w:t xml:space="preserve"> </w:t>
      </w:r>
      <w:r>
        <w:rPr>
          <w:rFonts w:ascii="Arial"/>
          <w:i/>
        </w:rPr>
        <w:t>μηχανισμός</w:t>
      </w:r>
      <w:r>
        <w:rPr>
          <w:rFonts w:ascii="Arial"/>
          <w:i/>
        </w:rPr>
        <w:t xml:space="preserve"> </w:t>
      </w:r>
      <w:r>
        <w:t>ανάκτησης του χρηματοδοτικού κενού πρέπει να υπολογίζεται εκ νέου στο τέλος της περιόδου ανάθεσης ΥΓΟΣ. Αυτό αντιστοιχεί στην υποχρέωση που ορίζεται στην απόφαση ΥΓΟΣ, άρθρο 6 παράγραφος 1, σύμφωνα με την οποία οι αρχές των κρατών μελών οφείλουν να διενεργούν ελέγχους υπεραντιστάθμισης και στο τέλος της περιόδου ανάθεσης των ΥΓΟΣ.</w:t>
      </w:r>
    </w:p>
    <w:p w14:paraId="27EF8E27" w14:textId="7208C2EE" w:rsidR="007B1A84" w:rsidRDefault="002A0261" w:rsidP="003E0C33">
      <w:pPr>
        <w:pStyle w:val="P68B1DB1-a58"/>
        <w:numPr>
          <w:ilvl w:val="0"/>
          <w:numId w:val="25"/>
        </w:numPr>
        <w:tabs>
          <w:tab w:val="left" w:pos="391"/>
          <w:tab w:val="left" w:pos="393"/>
        </w:tabs>
        <w:spacing w:after="120"/>
        <w:ind w:right="409"/>
      </w:pPr>
      <w:r>
        <w:t>Η αντιστάθμιση που υπερβαίνει το ποσό που είναι αναγκαίο για την κάλυψη του καθαρού κόστους των ΥΓΟΣ συνιστά ασυμβίβαστη κρατική ενίσχυση η οποία</w:t>
      </w:r>
      <w:r w:rsidR="001613E6">
        <w:rPr>
          <w:lang w:val="el-GR"/>
        </w:rPr>
        <w:t xml:space="preserve"> </w:t>
      </w:r>
      <w:hyperlink w:anchor="_bookmark43" w:history="1">
        <w:r w:rsidRPr="001613E6">
          <w:t>θα</w:t>
        </w:r>
        <w:r w:rsidR="001613E6">
          <w:rPr>
            <w:lang w:val="el-GR"/>
          </w:rPr>
          <w:t xml:space="preserve"> </w:t>
        </w:r>
        <w:r w:rsidRPr="001613E6">
          <w:t>πρέπει</w:t>
        </w:r>
      </w:hyperlink>
      <w:r>
        <w:t xml:space="preserve"> να </w:t>
      </w:r>
      <w:r>
        <w:lastRenderedPageBreak/>
        <w:t>αναπροσαρμόζεται</w:t>
      </w:r>
      <w:r w:rsidR="00F5130F">
        <w:rPr>
          <w:rStyle w:val="FootnoteReference"/>
        </w:rPr>
        <w:footnoteReference w:id="32"/>
      </w:r>
      <w:r>
        <w:t xml:space="preserve"> βάσει των απαιτήσεων που καθορίζονται στην απόφαση ανάκτησης κρατικών ενισχύσεων</w:t>
      </w:r>
      <w:r w:rsidR="00F5130F">
        <w:rPr>
          <w:rStyle w:val="FootnoteReference"/>
        </w:rPr>
        <w:footnoteReference w:id="33"/>
      </w:r>
      <w:r>
        <w:t>. Συνοπτικοί κανόνες σχετικά με την επιστροφή της υπεραντιστάθμισης παρέχονται στον πίνακα 6.</w:t>
      </w:r>
    </w:p>
    <w:p w14:paraId="2C2D38DF" w14:textId="77777777" w:rsidR="007B1A84" w:rsidRDefault="002A0261" w:rsidP="003E0C33">
      <w:pPr>
        <w:pStyle w:val="P68B1DB1-a58"/>
        <w:numPr>
          <w:ilvl w:val="0"/>
          <w:numId w:val="25"/>
        </w:numPr>
        <w:tabs>
          <w:tab w:val="left" w:pos="391"/>
          <w:tab w:val="left" w:pos="393"/>
        </w:tabs>
        <w:spacing w:after="120"/>
        <w:ind w:right="414"/>
      </w:pPr>
      <w:r>
        <w:t>Όταν το ποσό της υπεραντιστάθμισης δεν υπερβαίνει το 10 % του ποσού της μέσης ετήσιας αντιστάθμισης, η υπεραντιστάθμιση αυτή μπορεί να μεταφερθεί στην επόμενη περίοδο και να αφαιρεθεί από το ποσό της αποζημίωσης που οφείλεται για την εν λόγω περίοδο. Για να αποφευχθεί οποιαδήποτε περαιτέρω υπεραντιστάθμιση, επικαιροποιούνται οι παράμετροι για τον υπολογισμό της αντιστάθμισης.</w:t>
      </w:r>
    </w:p>
    <w:p w14:paraId="5DEBA085" w14:textId="243E7CE0" w:rsidR="007B1A84" w:rsidRDefault="002A0261" w:rsidP="003E0C33">
      <w:pPr>
        <w:pStyle w:val="P68B1DB1-a58"/>
        <w:numPr>
          <w:ilvl w:val="0"/>
          <w:numId w:val="25"/>
        </w:numPr>
        <w:tabs>
          <w:tab w:val="left" w:pos="391"/>
          <w:tab w:val="left" w:pos="393"/>
        </w:tabs>
        <w:spacing w:after="120"/>
        <w:ind w:right="418"/>
      </w:pPr>
      <w:r>
        <w:t>Λαμβανομένων υπόψη των όρων που καθορίζονται στην απόφαση ανάκτησης κρατικών ενισχύσεων</w:t>
      </w:r>
      <w:r w:rsidR="00F5130F">
        <w:rPr>
          <w:rStyle w:val="FootnoteReference"/>
        </w:rPr>
        <w:footnoteReference w:id="34"/>
      </w:r>
      <w:r>
        <w:t xml:space="preserve"> η προσωρινή επιστροφή της υπεραντιστάθμισης μπορεί να συμφωνηθεί μεταξύ του δικαιούχου της κρατικής ενίσχυσης και του χορηγού της κρατικής ενίσχυσης για κάθε υπεραντιστάθμιση που διαπιστώνεται για οποιαδήποτε τριετή περίοδο. Η προσωρινή επιστροφή της υπεραντιστάθμισης, για παράδειγμα, μπορεί να επιτευχθεί με την καταβολή του ποσού της διαπιστωθείσας υπεραντιστάθμισης σε λογαριασμό μεσεγγύησης.</w:t>
      </w:r>
    </w:p>
    <w:p w14:paraId="337A0288" w14:textId="77777777" w:rsidR="007B1A84" w:rsidRDefault="002A0261" w:rsidP="003E0C33">
      <w:pPr>
        <w:pStyle w:val="P68B1DB1-a58"/>
        <w:numPr>
          <w:ilvl w:val="0"/>
          <w:numId w:val="25"/>
        </w:numPr>
        <w:tabs>
          <w:tab w:val="left" w:pos="391"/>
          <w:tab w:val="left" w:pos="393"/>
        </w:tabs>
        <w:spacing w:after="120"/>
        <w:ind w:right="415"/>
      </w:pPr>
      <w:r>
        <w:t xml:space="preserve">Εναπόκειται </w:t>
      </w:r>
      <w:r>
        <w:rPr>
          <w:rFonts w:ascii="Arial"/>
          <w:b/>
          <w:i/>
        </w:rPr>
        <w:t>στην</w:t>
      </w:r>
      <w:r>
        <w:rPr>
          <w:rFonts w:ascii="Arial"/>
          <w:b/>
          <w:i/>
        </w:rPr>
        <w:t xml:space="preserve"> </w:t>
      </w:r>
      <w:r>
        <w:rPr>
          <w:rFonts w:ascii="Arial"/>
          <w:b/>
          <w:i/>
        </w:rPr>
        <w:t>αρμοδιότητα</w:t>
      </w:r>
      <w:r>
        <w:rPr>
          <w:rFonts w:ascii="Arial"/>
          <w:b/>
          <w:i/>
        </w:rPr>
        <w:t xml:space="preserve"> </w:t>
      </w:r>
      <w:r>
        <w:rPr>
          <w:rFonts w:ascii="Arial"/>
          <w:b/>
          <w:i/>
        </w:rPr>
        <w:t>των</w:t>
      </w:r>
      <w:r>
        <w:rPr>
          <w:rFonts w:ascii="Arial"/>
          <w:b/>
          <w:i/>
        </w:rPr>
        <w:t xml:space="preserve"> </w:t>
      </w:r>
      <w:r>
        <w:rPr>
          <w:rFonts w:ascii="Arial"/>
          <w:b/>
          <w:i/>
        </w:rPr>
        <w:t>κρατών</w:t>
      </w:r>
      <w:r>
        <w:rPr>
          <w:rFonts w:ascii="Arial"/>
          <w:b/>
          <w:i/>
        </w:rPr>
        <w:t xml:space="preserve"> </w:t>
      </w:r>
      <w:r>
        <w:rPr>
          <w:rFonts w:ascii="Arial"/>
          <w:b/>
          <w:i/>
        </w:rPr>
        <w:t>μελών</w:t>
      </w:r>
      <w:r>
        <w:rPr>
          <w:rFonts w:ascii="Arial"/>
          <w:b/>
          <w:i/>
        </w:rPr>
        <w:t xml:space="preserve"> </w:t>
      </w:r>
      <w:r>
        <w:rPr>
          <w:rFonts w:ascii="Arial"/>
          <w:b/>
          <w:i/>
        </w:rPr>
        <w:t>να</w:t>
      </w:r>
      <w:r>
        <w:rPr>
          <w:rFonts w:ascii="Arial"/>
          <w:b/>
          <w:i/>
        </w:rPr>
        <w:t xml:space="preserve"> </w:t>
      </w:r>
      <w:r>
        <w:rPr>
          <w:rFonts w:ascii="Arial"/>
          <w:b/>
          <w:i/>
        </w:rPr>
        <w:t>θεσπίσουν</w:t>
      </w:r>
      <w:r>
        <w:rPr>
          <w:rFonts w:ascii="Arial"/>
          <w:b/>
          <w:i/>
        </w:rPr>
        <w:t xml:space="preserve"> </w:t>
      </w:r>
      <w:r>
        <w:rPr>
          <w:rFonts w:ascii="Arial"/>
          <w:b/>
          <w:i/>
        </w:rPr>
        <w:t>μηχανισμούς</w:t>
      </w:r>
      <w:r>
        <w:rPr>
          <w:rFonts w:ascii="Arial"/>
          <w:b/>
          <w:i/>
        </w:rPr>
        <w:t xml:space="preserve"> </w:t>
      </w:r>
      <w:r>
        <w:rPr>
          <w:rFonts w:ascii="Arial"/>
          <w:b/>
          <w:i/>
        </w:rPr>
        <w:t>για</w:t>
      </w:r>
      <w:r>
        <w:rPr>
          <w:rFonts w:ascii="Arial"/>
          <w:b/>
          <w:i/>
        </w:rPr>
        <w:t xml:space="preserve"> </w:t>
      </w:r>
      <w:r>
        <w:rPr>
          <w:rFonts w:ascii="Arial"/>
          <w:b/>
          <w:i/>
        </w:rPr>
        <w:t>τον</w:t>
      </w:r>
      <w:r>
        <w:rPr>
          <w:rFonts w:ascii="Arial"/>
          <w:b/>
          <w:i/>
        </w:rPr>
        <w:t xml:space="preserve"> </w:t>
      </w:r>
      <w:r>
        <w:rPr>
          <w:rFonts w:ascii="Arial"/>
          <w:b/>
          <w:i/>
        </w:rPr>
        <w:t>τρόπο</w:t>
      </w:r>
      <w:r>
        <w:rPr>
          <w:rFonts w:ascii="Arial"/>
          <w:b/>
          <w:i/>
        </w:rPr>
        <w:t xml:space="preserve"> </w:t>
      </w:r>
      <w:r>
        <w:rPr>
          <w:rFonts w:ascii="Arial"/>
          <w:b/>
          <w:i/>
        </w:rPr>
        <w:t>με</w:t>
      </w:r>
      <w:r>
        <w:rPr>
          <w:rFonts w:ascii="Arial"/>
          <w:b/>
          <w:i/>
        </w:rPr>
        <w:t xml:space="preserve"> </w:t>
      </w:r>
      <w:r>
        <w:rPr>
          <w:rFonts w:ascii="Arial"/>
          <w:b/>
          <w:i/>
        </w:rPr>
        <w:t>τον</w:t>
      </w:r>
      <w:r>
        <w:rPr>
          <w:rFonts w:ascii="Arial"/>
          <w:b/>
          <w:i/>
        </w:rPr>
        <w:t xml:space="preserve"> </w:t>
      </w:r>
      <w:r>
        <w:rPr>
          <w:rFonts w:ascii="Arial"/>
          <w:b/>
          <w:i/>
        </w:rPr>
        <w:t>οποίο</w:t>
      </w:r>
      <w:r>
        <w:rPr>
          <w:rFonts w:ascii="Arial"/>
          <w:b/>
          <w:i/>
        </w:rPr>
        <w:t xml:space="preserve"> </w:t>
      </w:r>
      <w:r>
        <w:rPr>
          <w:rFonts w:ascii="Arial"/>
          <w:b/>
          <w:i/>
        </w:rPr>
        <w:t>χρησιμοποιούνται</w:t>
      </w:r>
      <w:r>
        <w:rPr>
          <w:rFonts w:ascii="Arial"/>
          <w:b/>
          <w:i/>
        </w:rPr>
        <w:t xml:space="preserve"> </w:t>
      </w:r>
      <w:r>
        <w:rPr>
          <w:rFonts w:ascii="Arial"/>
          <w:b/>
          <w:i/>
        </w:rPr>
        <w:t>τα</w:t>
      </w:r>
      <w:r>
        <w:rPr>
          <w:rFonts w:ascii="Arial"/>
          <w:b/>
          <w:i/>
        </w:rPr>
        <w:t xml:space="preserve"> </w:t>
      </w:r>
      <w:r>
        <w:rPr>
          <w:rFonts w:ascii="Arial"/>
          <w:b/>
          <w:i/>
        </w:rPr>
        <w:t>κεφάλαια</w:t>
      </w:r>
      <w:r>
        <w:rPr>
          <w:rFonts w:ascii="Arial"/>
          <w:b/>
          <w:i/>
        </w:rPr>
        <w:t xml:space="preserve"> </w:t>
      </w:r>
      <w:r>
        <w:rPr>
          <w:rFonts w:ascii="Arial"/>
          <w:b/>
          <w:i/>
        </w:rPr>
        <w:t>που</w:t>
      </w:r>
      <w:r>
        <w:rPr>
          <w:rFonts w:ascii="Arial"/>
          <w:b/>
          <w:i/>
        </w:rPr>
        <w:t xml:space="preserve"> </w:t>
      </w:r>
      <w:r>
        <w:rPr>
          <w:rFonts w:ascii="Arial"/>
          <w:b/>
          <w:i/>
        </w:rPr>
        <w:t>προέρχονται</w:t>
      </w:r>
      <w:r>
        <w:rPr>
          <w:rFonts w:ascii="Arial"/>
          <w:b/>
          <w:i/>
        </w:rPr>
        <w:t xml:space="preserve"> </w:t>
      </w:r>
      <w:r>
        <w:rPr>
          <w:rFonts w:ascii="Arial"/>
          <w:b/>
          <w:i/>
        </w:rPr>
        <w:t>από</w:t>
      </w:r>
      <w:r>
        <w:rPr>
          <w:rFonts w:ascii="Arial"/>
          <w:b/>
          <w:i/>
        </w:rPr>
        <w:t xml:space="preserve"> </w:t>
      </w:r>
      <w:r>
        <w:rPr>
          <w:rFonts w:ascii="Arial"/>
          <w:b/>
          <w:i/>
        </w:rPr>
        <w:t>επιστροφές</w:t>
      </w:r>
      <w:r>
        <w:rPr>
          <w:rFonts w:ascii="Arial"/>
          <w:b/>
          <w:i/>
        </w:rPr>
        <w:t xml:space="preserve"> </w:t>
      </w:r>
      <w:r>
        <w:rPr>
          <w:rFonts w:ascii="Arial"/>
          <w:b/>
          <w:i/>
        </w:rPr>
        <w:t>υπεραντιστάθμισης</w:t>
      </w:r>
      <w:r>
        <w:t>. Ένα κράτος μέλος μπορεί, για παράδειγμα, να εισαγάγει απαίτηση σύμφωνα με την οποία οι επιστροφές (τόσο οι επιστροφές υπεραντιστάθμισης όσο και η προσαρμογή του ποσού της αρχικά χορηγηθείσας κρατικής ενίσχυσης) πρέπει να γίνουν σε ένα ειδικά καθορισμένο ταμείο-στόχο, και το κράτος μέλος μπορεί να επιβάλει στο εν λόγω ταμείο (στο πλαίσιο του παρόντος GN) την υποχρέωση να αναλαμβάνει μόνο δραστηριότητες που συνδέονται με πρωτοβουλίες κυκλικής οικονομίας.</w:t>
      </w:r>
    </w:p>
    <w:p w14:paraId="373B7E6B" w14:textId="7AE8CC3E" w:rsidR="007B1A84" w:rsidRDefault="002A0261" w:rsidP="001A0CFC">
      <w:pPr>
        <w:pStyle w:val="P68B1DB1-a12"/>
        <w:spacing w:after="120"/>
        <w:ind w:left="426" w:right="421"/>
      </w:pPr>
      <w:r>
        <w:t>Πίνακας</w:t>
      </w:r>
      <w:r>
        <w:t xml:space="preserve"> 6: </w:t>
      </w:r>
      <w:r>
        <w:t>Συνοπτικοί</w:t>
      </w:r>
      <w:r>
        <w:t xml:space="preserve"> </w:t>
      </w:r>
      <w:r>
        <w:t>κανόνες</w:t>
      </w:r>
      <w:r>
        <w:t xml:space="preserve"> </w:t>
      </w:r>
      <w:r>
        <w:t>που</w:t>
      </w:r>
      <w:r>
        <w:t xml:space="preserve"> </w:t>
      </w:r>
      <w:r>
        <w:t>εφαρμόζονται</w:t>
      </w:r>
      <w:r>
        <w:t xml:space="preserve"> </w:t>
      </w:r>
      <w:r>
        <w:t>στην</w:t>
      </w:r>
      <w:r>
        <w:t xml:space="preserve"> </w:t>
      </w:r>
      <w:r>
        <w:t>αντιστάθμιση</w:t>
      </w:r>
      <w:r>
        <w:t xml:space="preserve"> </w:t>
      </w:r>
      <w:r>
        <w:t>ΥΓΟΣ</w:t>
      </w:r>
      <w:r>
        <w:t xml:space="preserve"> </w:t>
      </w:r>
      <w:r>
        <w:t>και</w:t>
      </w:r>
      <w:r>
        <w:t xml:space="preserve"> </w:t>
      </w:r>
      <w:r>
        <w:t>στην</w:t>
      </w:r>
      <w:r>
        <w:t xml:space="preserve"> </w:t>
      </w:r>
      <w:r>
        <w:t>επιστροφή</w:t>
      </w:r>
      <w:r>
        <w:t xml:space="preserve"> </w:t>
      </w:r>
      <w:r>
        <w:t>της</w:t>
      </w:r>
      <w:r>
        <w:t xml:space="preserve"> </w:t>
      </w:r>
      <w:r>
        <w:t>υπεραντιστάθμισης</w:t>
      </w:r>
      <w:r>
        <w:t xml:space="preserve"> </w:t>
      </w:r>
      <w:r>
        <w:t>σε</w:t>
      </w:r>
      <w:r>
        <w:t xml:space="preserve"> </w:t>
      </w:r>
      <w:r>
        <w:t>περίπτωση</w:t>
      </w:r>
      <w:r>
        <w:t xml:space="preserve"> </w:t>
      </w:r>
      <w:r>
        <w:t>αποκλειστικής</w:t>
      </w:r>
      <w:r>
        <w:t xml:space="preserve"> </w:t>
      </w:r>
      <w:r>
        <w:t>χρήσης</w:t>
      </w:r>
      <w:r>
        <w:t xml:space="preserve"> </w:t>
      </w:r>
      <w:r>
        <w:t>της</w:t>
      </w:r>
      <w:r>
        <w:t xml:space="preserve"> </w:t>
      </w:r>
      <w:r>
        <w:t>υποδομής</w:t>
      </w:r>
      <w:r>
        <w:t xml:space="preserve"> </w:t>
      </w:r>
      <w:r>
        <w:t>για</w:t>
      </w:r>
      <w:r>
        <w:t xml:space="preserve"> </w:t>
      </w:r>
      <w:r>
        <w:t>ΥΓΟΣ</w:t>
      </w:r>
    </w:p>
    <w:tbl>
      <w:tblPr>
        <w:tblStyle w:val="TableNormal1"/>
        <w:tblW w:w="0" w:type="auto"/>
        <w:tblInd w:w="416" w:type="dxa"/>
        <w:tblBorders>
          <w:top w:val="single" w:sz="8" w:space="0" w:color="B8CCE3"/>
          <w:left w:val="single" w:sz="8" w:space="0" w:color="B8CCE3"/>
          <w:bottom w:val="single" w:sz="8" w:space="0" w:color="B8CCE3"/>
          <w:right w:val="single" w:sz="8" w:space="0" w:color="B8CCE3"/>
          <w:insideH w:val="single" w:sz="8" w:space="0" w:color="B8CCE3"/>
          <w:insideV w:val="single" w:sz="8" w:space="0" w:color="B8CCE3"/>
        </w:tblBorders>
        <w:tblLayout w:type="fixed"/>
        <w:tblLook w:val="01E0" w:firstRow="1" w:lastRow="1" w:firstColumn="1" w:lastColumn="1" w:noHBand="0" w:noVBand="0"/>
      </w:tblPr>
      <w:tblGrid>
        <w:gridCol w:w="8696"/>
      </w:tblGrid>
      <w:tr w:rsidR="007B1A84" w14:paraId="6A49A8CF" w14:textId="77777777" w:rsidTr="001A0CFC">
        <w:trPr>
          <w:trHeight w:val="316"/>
        </w:trPr>
        <w:tc>
          <w:tcPr>
            <w:tcW w:w="8696" w:type="dxa"/>
            <w:tcBorders>
              <w:bottom w:val="single" w:sz="8" w:space="0" w:color="94B3D6"/>
            </w:tcBorders>
            <w:shd w:val="clear" w:color="auto" w:fill="FAD3B4"/>
          </w:tcPr>
          <w:p w14:paraId="075BDD69" w14:textId="77777777" w:rsidR="007B1A84" w:rsidRDefault="002A0261" w:rsidP="003E0C33">
            <w:pPr>
              <w:pStyle w:val="P68B1DB1-TableParagraph15"/>
              <w:spacing w:after="120"/>
              <w:ind w:left="118"/>
            </w:pPr>
            <w:r>
              <w:t>ΕΚ</w:t>
            </w:r>
            <w:r>
              <w:t xml:space="preserve"> </w:t>
            </w:r>
            <w:r>
              <w:t>των</w:t>
            </w:r>
            <w:r>
              <w:t xml:space="preserve"> </w:t>
            </w:r>
            <w:r>
              <w:t>υστέρων</w:t>
            </w:r>
            <w:r>
              <w:t xml:space="preserve"> </w:t>
            </w:r>
            <w:r>
              <w:t>διορθώσεις</w:t>
            </w:r>
            <w:r>
              <w:t xml:space="preserve"> </w:t>
            </w:r>
            <w:r>
              <w:t>που</w:t>
            </w:r>
            <w:r>
              <w:t xml:space="preserve"> </w:t>
            </w:r>
            <w:r>
              <w:t>απαιτούνται</w:t>
            </w:r>
            <w:r>
              <w:t xml:space="preserve"> </w:t>
            </w:r>
            <w:r>
              <w:t>για</w:t>
            </w:r>
            <w:r>
              <w:t xml:space="preserve"> </w:t>
            </w:r>
            <w:r>
              <w:t>τη</w:t>
            </w:r>
            <w:r>
              <w:t xml:space="preserve"> </w:t>
            </w:r>
            <w:r>
              <w:t>συμμόρφωση</w:t>
            </w:r>
            <w:r>
              <w:t xml:space="preserve"> </w:t>
            </w:r>
            <w:r>
              <w:t>με</w:t>
            </w:r>
            <w:r>
              <w:t xml:space="preserve"> </w:t>
            </w:r>
            <w:r>
              <w:t>τους</w:t>
            </w:r>
            <w:r>
              <w:t xml:space="preserve"> </w:t>
            </w:r>
            <w:r>
              <w:t>κανόνες</w:t>
            </w:r>
            <w:r>
              <w:t xml:space="preserve"> </w:t>
            </w:r>
            <w:r>
              <w:t>για</w:t>
            </w:r>
            <w:r>
              <w:t xml:space="preserve"> </w:t>
            </w:r>
            <w:r>
              <w:t>τις</w:t>
            </w:r>
            <w:r>
              <w:t xml:space="preserve"> </w:t>
            </w:r>
            <w:r>
              <w:t>κρατικές</w:t>
            </w:r>
            <w:r>
              <w:t xml:space="preserve"> </w:t>
            </w:r>
            <w:r>
              <w:t>ενισχύσεις</w:t>
            </w:r>
            <w:r>
              <w:t xml:space="preserve"> </w:t>
            </w:r>
            <w:r>
              <w:t>—</w:t>
            </w:r>
            <w:r>
              <w:t xml:space="preserve"> </w:t>
            </w:r>
            <w:r>
              <w:t>αποκλειστική</w:t>
            </w:r>
            <w:r>
              <w:t xml:space="preserve"> </w:t>
            </w:r>
            <w:r>
              <w:t>χρήση</w:t>
            </w:r>
            <w:r>
              <w:t xml:space="preserve"> </w:t>
            </w:r>
            <w:r>
              <w:t>της</w:t>
            </w:r>
            <w:r>
              <w:t xml:space="preserve"> </w:t>
            </w:r>
            <w:r>
              <w:t>υποδομής</w:t>
            </w:r>
            <w:r>
              <w:t xml:space="preserve"> </w:t>
            </w:r>
            <w:r>
              <w:t>για</w:t>
            </w:r>
            <w:r>
              <w:t xml:space="preserve"> </w:t>
            </w:r>
            <w:r>
              <w:t>ΥΓΟΣ</w:t>
            </w:r>
          </w:p>
        </w:tc>
      </w:tr>
      <w:tr w:rsidR="007B1A84" w14:paraId="5110CA30" w14:textId="77777777" w:rsidTr="001A0CFC">
        <w:trPr>
          <w:trHeight w:val="2174"/>
        </w:trPr>
        <w:tc>
          <w:tcPr>
            <w:tcW w:w="8696" w:type="dxa"/>
            <w:tcBorders>
              <w:top w:val="single" w:sz="8" w:space="0" w:color="94B3D6"/>
            </w:tcBorders>
          </w:tcPr>
          <w:p w14:paraId="26DE043A" w14:textId="77777777" w:rsidR="007B1A84" w:rsidRDefault="002A0261" w:rsidP="003E0C33">
            <w:pPr>
              <w:pStyle w:val="P68B1DB1-TableParagraph13"/>
              <w:spacing w:after="120"/>
              <w:ind w:left="118" w:right="106"/>
              <w:jc w:val="both"/>
            </w:pPr>
            <w:r>
              <w:t>Το χρηματοδοτικό κενό υπολογίζεται για το σύνολο του κόστους των προγραμματισμένων επενδύσεων στις υποδομές και τον εξοπλισμό που αποδίδονται στις ΥΓΟΣ. Απαιτείται να καθοριστεί το ποσό της αντιστάθμισης ΥΓΟΣ που συνδέεται με την επένδυση που υπολογίζεται για τη συνολική περίοδο ανάθεσης.</w:t>
            </w:r>
          </w:p>
          <w:p w14:paraId="2E54D9F9" w14:textId="77777777" w:rsidR="007B1A84" w:rsidRDefault="002A0261" w:rsidP="003E0C33">
            <w:pPr>
              <w:pStyle w:val="P68B1DB1-TableParagraph13"/>
              <w:spacing w:after="120"/>
              <w:ind w:left="118" w:right="104"/>
              <w:jc w:val="both"/>
            </w:pPr>
            <w:r>
              <w:t>Στο τέλος της διάρκειας ζωής ενός περιουσιακού στοιχείου (περίοδος οικονομικής χρησιμοποίησης του περιουσιακού στοιχείου) ή στο τέλος μιας ανάθεσης ΥΓΟΣ, εάν η περίοδος ανάθεσης είναι μικρότερη από τη διάρκεια ζωής του περιουσιακού στοιχείου, απαιτείται επανυπολογισμός του ελλείμματος χρηματοδότησης για να ληφθούν υπόψη τα πραγματικά κέρδη και οι δαπάνες που συνδέονται με την ΥΓΟΣ.</w:t>
            </w:r>
          </w:p>
          <w:p w14:paraId="083AE214" w14:textId="77777777" w:rsidR="007B1A84" w:rsidRDefault="002A0261" w:rsidP="003E0C33">
            <w:pPr>
              <w:pStyle w:val="P68B1DB1-TableParagraph13"/>
              <w:spacing w:after="120"/>
              <w:ind w:left="118"/>
              <w:jc w:val="both"/>
            </w:pPr>
            <w:r>
              <w:t>Απαιτείται</w:t>
            </w:r>
            <w:r>
              <w:rPr>
                <w:rFonts w:ascii="Arial"/>
                <w:i/>
              </w:rPr>
              <w:t>ανάκτηση</w:t>
            </w:r>
            <w:r>
              <w:rPr>
                <w:rFonts w:ascii="Arial"/>
                <w:i/>
              </w:rPr>
              <w:t xml:space="preserve"> </w:t>
            </w:r>
            <w:r>
              <w:t>πλεοναζόντων κερδών που συνδέονται με επενδύσεις.</w:t>
            </w:r>
          </w:p>
          <w:p w14:paraId="55FFCAB8" w14:textId="77777777" w:rsidR="007B1A84" w:rsidRDefault="002A0261" w:rsidP="003E0C33">
            <w:pPr>
              <w:pStyle w:val="P68B1DB1-TableParagraph13"/>
              <w:spacing w:after="120"/>
              <w:ind w:left="118" w:right="101"/>
              <w:jc w:val="both"/>
            </w:pPr>
            <w:r>
              <w:t>Οι υπερβάλλουσες αντισταθμίσεις ΥΓΟΣ (υπεραντιστάθμιση) που καταβλήθηκαν κατά τη διάρκεια της περιόδου ανάθεσης πρέπει να επιστραφούν σύμφωνα με την ανακοίνωση για την ανάκτηση κρατικών ενισχύσεων.</w:t>
            </w:r>
          </w:p>
        </w:tc>
      </w:tr>
    </w:tbl>
    <w:p w14:paraId="2BAE35D7" w14:textId="77777777" w:rsidR="007B1A84" w:rsidRDefault="007B1A84" w:rsidP="003E0C33">
      <w:pPr>
        <w:pStyle w:val="BodyText"/>
        <w:spacing w:after="120"/>
        <w:rPr>
          <w:rFonts w:ascii="Arial"/>
          <w:b/>
          <w:sz w:val="17"/>
        </w:rPr>
      </w:pPr>
    </w:p>
    <w:p w14:paraId="555430DA" w14:textId="77777777" w:rsidR="007B1A84" w:rsidRDefault="002A0261" w:rsidP="003E0C33">
      <w:pPr>
        <w:pStyle w:val="Heading7"/>
        <w:spacing w:after="120"/>
      </w:pPr>
      <w:r>
        <w:t>Καθορισμός αντιστάθμισης ΥΓΟΣ και έλεγχος της υπεραντιστάθμισης σε περίπτωση μικτής χρήσης της υποδομής</w:t>
      </w:r>
    </w:p>
    <w:p w14:paraId="19E2FA6F" w14:textId="77777777" w:rsidR="007B1A84" w:rsidRDefault="002A0261" w:rsidP="003E0C33">
      <w:pPr>
        <w:pStyle w:val="P68B1DB1-a58"/>
        <w:numPr>
          <w:ilvl w:val="0"/>
          <w:numId w:val="25"/>
        </w:numPr>
        <w:tabs>
          <w:tab w:val="left" w:pos="391"/>
          <w:tab w:val="left" w:pos="393"/>
        </w:tabs>
        <w:spacing w:after="120"/>
        <w:ind w:right="419"/>
      </w:pPr>
      <w:r>
        <w:t>Όταν μια επιχείρηση ασκεί δραστηριότητες που εμπίπτουν τόσο εντός όσο και εκτός του πεδίου εφαρμογής της ΥΓΟΣ, οι εσωτερικοί λογαριασμοί τηρούνται χωριστά για τις δαπάνες και τα έσοδα που συνδέονται με την υπηρεσία γενικού οικονομικού συμφέροντος και τις παραμέτρους για την κατανομή των δαπανών και των εσόδων.</w:t>
      </w:r>
    </w:p>
    <w:p w14:paraId="33AE22A2" w14:textId="77777777" w:rsidR="007B1A84" w:rsidRDefault="002A0261" w:rsidP="003E0C33">
      <w:pPr>
        <w:pStyle w:val="P68B1DB1-a58"/>
        <w:numPr>
          <w:ilvl w:val="0"/>
          <w:numId w:val="25"/>
        </w:numPr>
        <w:tabs>
          <w:tab w:val="left" w:pos="391"/>
          <w:tab w:val="left" w:pos="393"/>
        </w:tabs>
        <w:spacing w:after="120"/>
        <w:ind w:right="412"/>
      </w:pPr>
      <w:r>
        <w:t xml:space="preserve">Είναι περίπλοκο, όταν η ίδια εγκατάσταση δεν μπορεί να διαχωριστεί τεχνικά και λειτουργικά για διαφορετικές εργασίες (π.χ. επεξεργασία διαφορετικών τύπων αποβλήτων) ή ο διαχωρισμός των δραστηριοτήτων δεν δικαιολογείται από οικονομική άποψη. Σε τέτοιες περιπτώσεις, θα πρέπει να εκτιμάται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rPr>
          <w:rFonts w:ascii="Arial"/>
          <w:i/>
        </w:rPr>
        <w:t xml:space="preserve"> </w:t>
      </w:r>
      <w:r>
        <w:rPr>
          <w:rFonts w:ascii="Arial"/>
          <w:i/>
        </w:rPr>
        <w:t>μια</w:t>
      </w:r>
      <w:r>
        <w:rPr>
          <w:rFonts w:ascii="Arial"/>
          <w:i/>
        </w:rPr>
        <w:t xml:space="preserve"> </w:t>
      </w:r>
      <w:r>
        <w:rPr>
          <w:rFonts w:ascii="Arial"/>
          <w:i/>
        </w:rPr>
        <w:t>προσεκτική</w:t>
      </w:r>
      <w:r>
        <w:rPr>
          <w:rFonts w:ascii="Arial"/>
          <w:i/>
        </w:rPr>
        <w:t xml:space="preserve">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rPr>
          <w:rFonts w:ascii="Arial"/>
          <w:i/>
        </w:rPr>
        <w:t xml:space="preserve"> </w:t>
      </w:r>
      <w:r>
        <w:t xml:space="preserve">εκτίμηση του ποσοστού που αποδίδεται στα διάφορα είδη δραστηριοτήτων (εκφρασμένη, για </w:t>
      </w:r>
      <w:r>
        <w:lastRenderedPageBreak/>
        <w:t>παράδειγμα, ως ποσοστό του χρόνου ή της χρησιμοποιούμενης παραγωγικής ικανότητας ή με άλλο κατάλληλο κριτήριο)</w:t>
      </w:r>
      <w:r>
        <w:rPr>
          <w:rFonts w:ascii="Arial"/>
          <w:i/>
        </w:rPr>
        <w:t>.</w:t>
      </w:r>
      <w:r>
        <w:t xml:space="preserve"> Η περίοδος που εφαρμόζεται για την εκτίμηση του ποσοστού που αποδίδεται στα διάφορα είδη δραστηριοτήτων πρέπει να αντιστοιχεί στη χρήσιμη αξία ενός περιουσιακού στοιχείου (περίοδος απόσβεσης).</w:t>
      </w:r>
    </w:p>
    <w:p w14:paraId="3A735E12" w14:textId="77777777" w:rsidR="007B1A84" w:rsidRDefault="002A0261" w:rsidP="003E0C33">
      <w:pPr>
        <w:pStyle w:val="P68B1DB1-a58"/>
        <w:numPr>
          <w:ilvl w:val="0"/>
          <w:numId w:val="25"/>
        </w:numPr>
        <w:tabs>
          <w:tab w:val="left" w:pos="391"/>
          <w:tab w:val="left" w:pos="393"/>
        </w:tabs>
        <w:spacing w:after="120"/>
        <w:ind w:right="422"/>
      </w:pPr>
      <w:r>
        <w:t>Όταν, στο πλαίσιο του ίδιου ΜΑΑ, τα «απόβλητα ΥΓΟΣ» και τα «απόβλητα εκτός ΥΓΟΣ» υποβάλλονται σε επεξεργασία (δηλ. μεικτές υπηρεσίες), το πραγματικό ποσοστό των ΥΓΟΣ θα πρέπει να παρακολουθείται σε ετήσια βάση, υποχρεώνοντας τον δικαιούχο της κρατικής ενίσχυσης να υποβάλει έκθεση σχετικά με τυχόν μεταβολές στην αναλογία μεταξύ υπηρεσιών ΥΓΟΣ και άλλων υπηρεσιών που παρέχονται στο πλαίσιο του ίδιου ΜΑΑ. Ο πίνακας 7 συνοψίζει τις απαιτήσεις που ισχύουν για την αντιστάθμιση και την αποπληρωμή της υπεραντιστάθμισης στην περίπτωση κατά την οποία η οντότητα παρέχει ΥΓΟΣ και εκτελεί και άλλες δραστηριότητες με την ίδια υποδομή (ΥΓΟΣ).</w:t>
      </w:r>
    </w:p>
    <w:p w14:paraId="324C3BAD" w14:textId="77777777" w:rsidR="007B1A84" w:rsidRDefault="002A0261" w:rsidP="00454873">
      <w:pPr>
        <w:pStyle w:val="P68B1DB1-a12"/>
        <w:spacing w:after="120"/>
        <w:ind w:left="426" w:right="428"/>
      </w:pPr>
      <w:r>
        <w:t>Πίνακας</w:t>
      </w:r>
      <w:r>
        <w:t xml:space="preserve"> 7: </w:t>
      </w:r>
      <w:r>
        <w:t>Συνοπτικοί</w:t>
      </w:r>
      <w:r>
        <w:t xml:space="preserve"> </w:t>
      </w:r>
      <w:r>
        <w:t>κανόνες</w:t>
      </w:r>
      <w:r>
        <w:t xml:space="preserve"> </w:t>
      </w:r>
      <w:r>
        <w:t>που</w:t>
      </w:r>
      <w:r>
        <w:t xml:space="preserve"> </w:t>
      </w:r>
      <w:r>
        <w:t>εφαρμόζονται</w:t>
      </w:r>
      <w:r>
        <w:t xml:space="preserve"> </w:t>
      </w:r>
      <w:r>
        <w:t>στην</w:t>
      </w:r>
      <w:r>
        <w:t xml:space="preserve"> </w:t>
      </w:r>
      <w:r>
        <w:t>αντιστάθμιση</w:t>
      </w:r>
      <w:r>
        <w:t xml:space="preserve"> </w:t>
      </w:r>
      <w:r>
        <w:t>ΥΓΟΣ</w:t>
      </w:r>
      <w:r>
        <w:t xml:space="preserve"> </w:t>
      </w:r>
      <w:r>
        <w:t>και</w:t>
      </w:r>
      <w:r>
        <w:t xml:space="preserve"> </w:t>
      </w:r>
      <w:r>
        <w:t>στην</w:t>
      </w:r>
      <w:r>
        <w:t xml:space="preserve"> </w:t>
      </w:r>
      <w:r>
        <w:t>επιστροφή</w:t>
      </w:r>
      <w:r>
        <w:t xml:space="preserve"> </w:t>
      </w:r>
      <w:r>
        <w:t>της</w:t>
      </w:r>
      <w:r>
        <w:t xml:space="preserve"> </w:t>
      </w:r>
      <w:r>
        <w:t>υπεραντιστάθμισης</w:t>
      </w:r>
      <w:r>
        <w:t xml:space="preserve"> </w:t>
      </w:r>
      <w:r>
        <w:t>σε</w:t>
      </w:r>
      <w:r>
        <w:t xml:space="preserve"> </w:t>
      </w:r>
      <w:r>
        <w:t>περίπτωση</w:t>
      </w:r>
      <w:r>
        <w:t xml:space="preserve"> </w:t>
      </w:r>
      <w:r>
        <w:t>μικτής</w:t>
      </w:r>
      <w:r>
        <w:t xml:space="preserve"> </w:t>
      </w:r>
      <w:r>
        <w:t>χρήσης</w:t>
      </w:r>
      <w:r>
        <w:t xml:space="preserve"> </w:t>
      </w:r>
      <w:r>
        <w:t>της</w:t>
      </w:r>
      <w:r>
        <w:t xml:space="preserve"> </w:t>
      </w:r>
      <w:r>
        <w:t>υποδομής</w:t>
      </w:r>
    </w:p>
    <w:tbl>
      <w:tblPr>
        <w:tblStyle w:val="TableNormal1"/>
        <w:tblW w:w="0" w:type="auto"/>
        <w:tblInd w:w="416" w:type="dxa"/>
        <w:tblBorders>
          <w:top w:val="single" w:sz="8" w:space="0" w:color="B8CCE3"/>
          <w:left w:val="single" w:sz="8" w:space="0" w:color="B8CCE3"/>
          <w:bottom w:val="single" w:sz="8" w:space="0" w:color="B8CCE3"/>
          <w:right w:val="single" w:sz="8" w:space="0" w:color="B8CCE3"/>
          <w:insideH w:val="single" w:sz="8" w:space="0" w:color="B8CCE3"/>
          <w:insideV w:val="single" w:sz="8" w:space="0" w:color="B8CCE3"/>
        </w:tblBorders>
        <w:tblLayout w:type="fixed"/>
        <w:tblLook w:val="01E0" w:firstRow="1" w:lastRow="1" w:firstColumn="1" w:lastColumn="1" w:noHBand="0" w:noVBand="0"/>
      </w:tblPr>
      <w:tblGrid>
        <w:gridCol w:w="8696"/>
      </w:tblGrid>
      <w:tr w:rsidR="007B1A84" w14:paraId="035DFA5F" w14:textId="77777777" w:rsidTr="00454873">
        <w:trPr>
          <w:trHeight w:val="332"/>
        </w:trPr>
        <w:tc>
          <w:tcPr>
            <w:tcW w:w="8696" w:type="dxa"/>
            <w:tcBorders>
              <w:bottom w:val="single" w:sz="8" w:space="0" w:color="94B3D6"/>
            </w:tcBorders>
            <w:shd w:val="clear" w:color="auto" w:fill="FAD3B4"/>
          </w:tcPr>
          <w:p w14:paraId="319A3131" w14:textId="77777777" w:rsidR="007B1A84" w:rsidRDefault="002A0261" w:rsidP="003E0C33">
            <w:pPr>
              <w:pStyle w:val="P68B1DB1-TableParagraph15"/>
              <w:spacing w:after="120"/>
              <w:ind w:left="118"/>
            </w:pPr>
            <w:r>
              <w:t>ΕΚ</w:t>
            </w:r>
            <w:r>
              <w:t xml:space="preserve"> </w:t>
            </w:r>
            <w:r>
              <w:t>των</w:t>
            </w:r>
            <w:r>
              <w:t xml:space="preserve"> </w:t>
            </w:r>
            <w:r>
              <w:t>υστέρων</w:t>
            </w:r>
            <w:r>
              <w:t xml:space="preserve"> </w:t>
            </w:r>
            <w:r>
              <w:t>διορθώσεις</w:t>
            </w:r>
            <w:r>
              <w:t xml:space="preserve"> </w:t>
            </w:r>
            <w:r>
              <w:t>που</w:t>
            </w:r>
            <w:r>
              <w:t xml:space="preserve"> </w:t>
            </w:r>
            <w:r>
              <w:t>απαιτούνται</w:t>
            </w:r>
            <w:r>
              <w:t xml:space="preserve"> </w:t>
            </w:r>
            <w:r>
              <w:t>για</w:t>
            </w:r>
            <w:r>
              <w:t xml:space="preserve"> </w:t>
            </w:r>
            <w:r>
              <w:t>τη</w:t>
            </w:r>
            <w:r>
              <w:t xml:space="preserve"> </w:t>
            </w:r>
            <w:r>
              <w:t>συμμόρφωση</w:t>
            </w:r>
            <w:r>
              <w:t xml:space="preserve"> </w:t>
            </w:r>
            <w:r>
              <w:t>με</w:t>
            </w:r>
            <w:r>
              <w:t xml:space="preserve"> </w:t>
            </w:r>
            <w:r>
              <w:t>τους</w:t>
            </w:r>
            <w:r>
              <w:t xml:space="preserve"> </w:t>
            </w:r>
            <w:r>
              <w:t>κανόνες</w:t>
            </w:r>
            <w:r>
              <w:t xml:space="preserve"> </w:t>
            </w:r>
            <w:r>
              <w:t>για</w:t>
            </w:r>
            <w:r>
              <w:t xml:space="preserve"> </w:t>
            </w:r>
            <w:r>
              <w:t>τις</w:t>
            </w:r>
            <w:r>
              <w:t xml:space="preserve"> </w:t>
            </w:r>
            <w:r>
              <w:t>κρατικές</w:t>
            </w:r>
            <w:r>
              <w:t xml:space="preserve"> </w:t>
            </w:r>
            <w:r>
              <w:t>ενισχύσεις</w:t>
            </w:r>
            <w:r>
              <w:t xml:space="preserve"> </w:t>
            </w:r>
            <w:r>
              <w:t>—</w:t>
            </w:r>
            <w:r>
              <w:t xml:space="preserve"> </w:t>
            </w:r>
            <w:r>
              <w:t>Μείγμα</w:t>
            </w:r>
            <w:r>
              <w:t xml:space="preserve"> </w:t>
            </w:r>
            <w:r>
              <w:t>ΥΓΟΣ</w:t>
            </w:r>
            <w:r>
              <w:t xml:space="preserve"> </w:t>
            </w:r>
            <w:r>
              <w:t>και</w:t>
            </w:r>
            <w:r>
              <w:t xml:space="preserve"> </w:t>
            </w:r>
            <w:r>
              <w:t>άλλων</w:t>
            </w:r>
            <w:r>
              <w:t xml:space="preserve"> </w:t>
            </w:r>
            <w:r>
              <w:t>υπηρεσιών</w:t>
            </w:r>
          </w:p>
        </w:tc>
      </w:tr>
      <w:tr w:rsidR="007B1A84" w14:paraId="75EDD5C0" w14:textId="77777777" w:rsidTr="00454873">
        <w:trPr>
          <w:trHeight w:val="2638"/>
        </w:trPr>
        <w:tc>
          <w:tcPr>
            <w:tcW w:w="8696" w:type="dxa"/>
            <w:tcBorders>
              <w:top w:val="single" w:sz="8" w:space="0" w:color="94B3D6"/>
            </w:tcBorders>
          </w:tcPr>
          <w:p w14:paraId="475AD29F" w14:textId="77777777" w:rsidR="007B1A84" w:rsidRDefault="002A0261" w:rsidP="003E0C33">
            <w:pPr>
              <w:pStyle w:val="P68B1DB1-TableParagraph13"/>
              <w:spacing w:after="120"/>
              <w:ind w:left="118" w:right="99"/>
              <w:jc w:val="both"/>
            </w:pPr>
            <w:r>
              <w:t xml:space="preserve">Το εκτιμώμενο ποσοστό (π.χ. ποσοστό του χρόνου ή της χρησιμοποιούμενης παραγωγικής ικανότητας) των διαφόρων τύπων δραστηριοτήτων θα πρέπει να καθορίζεται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t>.</w:t>
            </w:r>
          </w:p>
          <w:p w14:paraId="024EFBE0" w14:textId="77777777" w:rsidR="007B1A84" w:rsidRDefault="002A0261" w:rsidP="003E0C33">
            <w:pPr>
              <w:pStyle w:val="P68B1DB1-TableParagraph13"/>
              <w:spacing w:after="120"/>
              <w:ind w:left="118" w:right="93"/>
              <w:jc w:val="both"/>
            </w:pPr>
            <w:r>
              <w:t>Οι επιλέξιμες δαπάνες μόνο για το ποσοστό που αναλογεί στην ΥΓΟΣ μπορούν να ληφθούν υπόψη για τον υπολογισμό του ποσού της αντιστάθμισης ΥΓΟΣ. Επίσης, οι δαπάνες που συνδέονται με επενδύσεις σε υποδομές και εξοπλισμό μπορούν να ληφθούν υπόψη μόνο για το ποσοστό που αναλογεί στην ΥΓΟΣ [άρθρο 5 παράγραφος 3 στοιχεία β) &amp; δ) της απόφασης ΥΓΟΣ/Πλαίσιο ΥΓΟΣ 29]</w:t>
            </w:r>
          </w:p>
          <w:p w14:paraId="2B21793F" w14:textId="77777777" w:rsidR="007B1A84" w:rsidRDefault="002A0261" w:rsidP="003E0C33">
            <w:pPr>
              <w:pStyle w:val="P68B1DB1-TableParagraph13"/>
              <w:spacing w:after="120"/>
              <w:ind w:left="118" w:right="105"/>
              <w:jc w:val="both"/>
            </w:pPr>
            <w:r>
              <w:t>Η χρονική περίοδος για την εκτίμηση της αναλογίας μεταξύ ΥΓΟΣ και άλλων υπηρεσιών πρέπει να αντιστοιχεί στην ωφέλιμη διάρκεια ζωής του περιουσιακού στοιχείου (περίοδος απόσβεσης).</w:t>
            </w:r>
          </w:p>
          <w:p w14:paraId="3E353A8F" w14:textId="77777777" w:rsidR="007B1A84" w:rsidRDefault="002A0261" w:rsidP="003E0C33">
            <w:pPr>
              <w:pStyle w:val="P68B1DB1-TableParagraph13"/>
              <w:spacing w:after="120"/>
              <w:ind w:left="118" w:right="106"/>
              <w:jc w:val="both"/>
            </w:pPr>
            <w:r>
              <w:t>Η συμμόρφωση με το εκτιμώμενο ποσοστό παρακολουθείται σε ετήσια βάση. Ο δικαιούχος της κρατικής ενίσχυσης υποχρεούται να ενημερώνει τον φορέα χορήγησης κρατικής ενίσχυσης σε περίπτωση μεταβολής του ποσοστού που απαιτεί διόρθωση.</w:t>
            </w:r>
          </w:p>
          <w:p w14:paraId="1B14542C" w14:textId="77777777" w:rsidR="007B1A84" w:rsidRDefault="002A0261" w:rsidP="003E0C33">
            <w:pPr>
              <w:pStyle w:val="P68B1DB1-TableParagraph13"/>
              <w:spacing w:after="120"/>
              <w:ind w:left="118" w:right="89"/>
              <w:jc w:val="both"/>
            </w:pPr>
            <w:r>
              <w:t>Εάν το περιουσιακό στοιχείο χρησιμοποιείται πράγματι σε διαφορετικό ποσοστό για τις δύο δραστηριότητες, καθίσταται αναγκαία η διόρθωση. Η διόρθωση και η ανάκτηση του πλεονάζοντος ποσού κρατικής ενίσχυσης πραγματοποιούνται σύμφωνα με την ανακοίνωση για την ανάκτηση των κρατικών ενισχύσεων.</w:t>
            </w:r>
          </w:p>
        </w:tc>
      </w:tr>
      <w:tr w:rsidR="007B1A84" w14:paraId="28FAE67C" w14:textId="77777777" w:rsidTr="00454873">
        <w:trPr>
          <w:trHeight w:val="1549"/>
        </w:trPr>
        <w:tc>
          <w:tcPr>
            <w:tcW w:w="8696" w:type="dxa"/>
            <w:tcBorders>
              <w:top w:val="single" w:sz="8" w:space="0" w:color="94B3D6"/>
            </w:tcBorders>
          </w:tcPr>
          <w:p w14:paraId="5906A6CF" w14:textId="77777777" w:rsidR="007B1A84" w:rsidRDefault="002A0261" w:rsidP="003E0C33">
            <w:pPr>
              <w:pStyle w:val="P68B1DB1-TableParagraph13"/>
              <w:spacing w:after="120"/>
              <w:ind w:left="118" w:right="86"/>
              <w:jc w:val="both"/>
            </w:pPr>
            <w:r>
              <w:t>Το χρηματοδοτικό κενό υπολογίζεται μόνο για το ποσοστό που αντιστοιχεί στις δαπάνες ΥΓΟΣ. Απαιτείται</w:t>
            </w:r>
            <w:r>
              <w:rPr>
                <w:rFonts w:ascii="Arial"/>
                <w:i/>
              </w:rPr>
              <w:t>ανάκτηση</w:t>
            </w:r>
            <w:r>
              <w:rPr>
                <w:rFonts w:ascii="Arial"/>
                <w:i/>
              </w:rPr>
              <w:t xml:space="preserve"> </w:t>
            </w:r>
            <w:r>
              <w:t>πλεοναζόντων κερδών που συνδέονται με επενδύσεις σε ΥΓΟΣ. Οι υπερβάλλουσες αντισταθμίσεις ΥΓΟΣ που καταβλήθηκαν κατά τη διάρκεια της περιόδου ανάθεσης πρέπει να επιστραφούν σύμφωνα με την ανακοίνωση για την ανάκτηση των κρατικών ενισχύσεων.</w:t>
            </w:r>
          </w:p>
          <w:p w14:paraId="6F3A41CA" w14:textId="77777777" w:rsidR="007B1A84" w:rsidRDefault="002A0261" w:rsidP="003E0C33">
            <w:pPr>
              <w:pStyle w:val="P68B1DB1-TableParagraph13"/>
              <w:spacing w:after="120"/>
              <w:ind w:left="118" w:right="105"/>
              <w:jc w:val="both"/>
            </w:pPr>
            <w:r>
              <w:rPr>
                <w:u w:val="single"/>
              </w:rPr>
              <w:t>Δεν μπορεί να χορηγηθεί αντιστάθμιση για δαπάνες που συνδέονται με άλλες υπηρεσίες [άρθρο 5 παράγραφος 9 της απόφασης ΥΓΟΣ], επομένως</w:t>
            </w:r>
            <w:r>
              <w:t xml:space="preserve"> </w:t>
            </w:r>
            <w:r>
              <w:rPr>
                <w:u w:val="single"/>
              </w:rPr>
              <w:t>το ποσοστό που αναλογεί σε άλλες υπηρεσίες χρηματοδοτείται κατά 100 % από ίδιους πόρους του δικαιούχου ή από πόρους</w:t>
            </w:r>
            <w:r>
              <w:t xml:space="preserve"> που </w:t>
            </w:r>
            <w:r>
              <w:rPr>
                <w:u w:val="single"/>
              </w:rPr>
              <w:t>έχουν δανειστεί από την αγορά χωρίς τη χορήγηση κρατικής ενίσχυσης. Εναλλακτικά, μπορούν να</w:t>
            </w:r>
            <w:r>
              <w:t xml:space="preserve"> </w:t>
            </w:r>
            <w:r>
              <w:rPr>
                <w:u w:val="single"/>
              </w:rPr>
              <w:t>ληφθούν υπόψη και άλλοι κανόνες για τις κρατικές ενισχύσεις για τη χορήγηση κρατικών ενισχύσεων σε τμήματα δραστηριοτήτων που δεν εμπίπτουν στο πεδίο εφαρμογής της ΥΓΟΣ.</w:t>
            </w:r>
          </w:p>
        </w:tc>
      </w:tr>
    </w:tbl>
    <w:p w14:paraId="1E5394D6" w14:textId="77777777" w:rsidR="007B1A84" w:rsidRDefault="007B1A84" w:rsidP="003E0C33">
      <w:pPr>
        <w:pStyle w:val="BodyText"/>
        <w:spacing w:after="120"/>
        <w:rPr>
          <w:rFonts w:ascii="Arial"/>
          <w:b/>
          <w:sz w:val="22"/>
        </w:rPr>
      </w:pPr>
    </w:p>
    <w:p w14:paraId="07818CF8" w14:textId="77777777" w:rsidR="007B1A84" w:rsidRDefault="002A0261" w:rsidP="003E0C33">
      <w:pPr>
        <w:pStyle w:val="Heading4"/>
        <w:numPr>
          <w:ilvl w:val="1"/>
          <w:numId w:val="40"/>
        </w:numPr>
        <w:tabs>
          <w:tab w:val="left" w:pos="601"/>
        </w:tabs>
        <w:spacing w:after="120"/>
        <w:ind w:right="421"/>
      </w:pPr>
      <w:bookmarkStart w:id="19" w:name="_bookmark46"/>
      <w:bookmarkEnd w:id="19"/>
      <w:r>
        <w:t>Εκτιμήσεις που συνδέονται με την εφαρμογή περιφερειακών επενδυτικών ενισχύσεων (άρθρο 14 του ΓΚΑΚ και των ΚΓΠΕ)</w:t>
      </w:r>
    </w:p>
    <w:p w14:paraId="1009B48D" w14:textId="77E7A1A9" w:rsidR="007B1A84" w:rsidRDefault="002A0261" w:rsidP="003E0C33">
      <w:pPr>
        <w:pStyle w:val="P68B1DB1-a58"/>
        <w:numPr>
          <w:ilvl w:val="0"/>
          <w:numId w:val="25"/>
        </w:numPr>
        <w:tabs>
          <w:tab w:val="left" w:pos="391"/>
          <w:tab w:val="left" w:pos="393"/>
        </w:tabs>
        <w:spacing w:after="120"/>
        <w:ind w:right="412"/>
      </w:pPr>
      <w:r>
        <w:t>Οι επενδυτικές κρατικές ενισχύσεις είναι επιλέξιμες μόνο σε περιοχές της χώρας που ορίζονται στο παράρτημα 1 των ΚΓΠΕ και προσδιορίζονται περαιτέρω στον χάρτη περιφερειακών ενισχύσεων του κράτους μέλους</w:t>
      </w:r>
      <w:r w:rsidR="00A32633">
        <w:rPr>
          <w:rStyle w:val="FootnoteReference"/>
        </w:rPr>
        <w:footnoteReference w:id="35"/>
      </w:r>
      <w:r>
        <w:t>. Οι ισχύουσες εντάσεις κρατικών ενισχύσεων μπορούν να κυμαίνονται μεταξύ 10 % και 60 % (σπάνια, 70 %), εφόσον εγκρίνονται από την Ευρωπαϊκή Επιτροπή για κάθε</w:t>
      </w:r>
      <w:r w:rsidR="00A32633">
        <w:rPr>
          <w:lang w:val="el-GR"/>
        </w:rPr>
        <w:t xml:space="preserve"> </w:t>
      </w:r>
      <w:hyperlink w:anchor="_bookmark47" w:history="1">
        <w:r w:rsidRPr="00A32633">
          <w:t>κράτος</w:t>
        </w:r>
        <w:r w:rsidR="00A32633">
          <w:rPr>
            <w:lang w:val="el-GR"/>
          </w:rPr>
          <w:t xml:space="preserve"> </w:t>
        </w:r>
        <w:r w:rsidRPr="00A32633">
          <w:t>μέλος</w:t>
        </w:r>
      </w:hyperlink>
      <w:r>
        <w:t>. Ορισμένα εδάφη ενός κράτους μέλους ενδέχεται να μην εμπίπτουν στον χάρτη περιφερειακών ενισχύσεων και, ως εκ τούτου, σε αυτά τα εδάφη ενδέχεται να μην χορηγούνται καθόλου περιφερειακές επενδυτικές ενισχύσεις.</w:t>
      </w:r>
    </w:p>
    <w:p w14:paraId="5F605060" w14:textId="77777777" w:rsidR="007B1A84" w:rsidRDefault="002A0261" w:rsidP="003E0C33">
      <w:pPr>
        <w:pStyle w:val="P68B1DB1-a58"/>
        <w:numPr>
          <w:ilvl w:val="0"/>
          <w:numId w:val="25"/>
        </w:numPr>
        <w:tabs>
          <w:tab w:val="left" w:pos="391"/>
          <w:tab w:val="left" w:pos="393"/>
        </w:tabs>
        <w:spacing w:after="120"/>
        <w:ind w:right="413"/>
      </w:pPr>
      <w:r>
        <w:lastRenderedPageBreak/>
        <w:t>Σύμφωνα με το παράρτημα 1 των ΚΓΠΕ και του χάρτη περιφερειακών ενισχύσεων της Ελλάδας για την περίοδο 2022-2027, υπάρχουν «ενισχυόμενες περιοχές του άρθρου 107 παράγραφος 3 στοιχείο α)» και «άρθρο 107 παράγραφος 3 στοιχείο γ) ενισχυόμενες περιοχές» στην Ελλάδα με ένταση κρατικής ενίσχυσης που κυμαίνεται μεταξύ 40-60 % στις ενισχυόμενες περιοχές του άρθρου 107 παράγραφος 3 στοιχείο α) και 15-25 % στις ενισχυόμενες περιοχές του άρθρου 107 παράγραφος 3 στοιχείο γ).</w:t>
      </w:r>
    </w:p>
    <w:p w14:paraId="0CF853D6" w14:textId="77777777" w:rsidR="007B1A84" w:rsidRDefault="002A0261" w:rsidP="003E0C33">
      <w:pPr>
        <w:pStyle w:val="P68B1DB1-a58"/>
        <w:numPr>
          <w:ilvl w:val="0"/>
          <w:numId w:val="25"/>
        </w:numPr>
        <w:tabs>
          <w:tab w:val="left" w:pos="391"/>
          <w:tab w:val="left" w:pos="393"/>
        </w:tabs>
        <w:spacing w:after="120"/>
        <w:ind w:right="413"/>
      </w:pPr>
      <w:r>
        <w:t>Οι χάρτες περιφερειακών ενισχύσεων καθορίζουν βασικές μέγιστες εντάσεις ενίσχυσης για τις μεγάλες επιχειρήσεις, οι οποίες μπορούν να αυξηθούν κατά 10 ποσοστιαίες μονάδες για τις μεσαίες επιχειρήσεις και κατά 20 ποσοστιαίες μονάδες για τις μικρές επιχειρήσεις για τις αρχικές επενδύσεις με επιλέξιμες δαπάνες έως 50 εκατ. ευρώ.</w:t>
      </w:r>
    </w:p>
    <w:p w14:paraId="2DB4EDDE" w14:textId="77777777" w:rsidR="007B1A84" w:rsidRDefault="002A0261" w:rsidP="003E0C33">
      <w:pPr>
        <w:pStyle w:val="P68B1DB1-a58"/>
        <w:numPr>
          <w:ilvl w:val="0"/>
          <w:numId w:val="25"/>
        </w:numPr>
        <w:tabs>
          <w:tab w:val="left" w:pos="391"/>
          <w:tab w:val="left" w:pos="393"/>
        </w:tabs>
        <w:spacing w:after="120"/>
        <w:ind w:right="410"/>
      </w:pPr>
      <w:r>
        <w:t>Δεδομένου ότι οι περιφερειακές επενδυτικές ενισχύσεις έχουν σταθερές εντάσεις κρατικών ενισχύσεων, το ποσό της κρατικής ενίσχυσης δεν εξαρτάται από υπολογισμούς του ελλείμματος χρηματοδότησης ή από εξελίξεις στην αγορά, κατά συνέπεια δεν θα απαιτηθούν διορθώσεις του ποσού της κρατικής ενίσχυσης σε μεταγενέστερο στάδιο με βάση τον επανυπολογισμό του ελλείμματος χρηματοδότησης ή τις εξελίξεις της αγοράς.</w:t>
      </w:r>
    </w:p>
    <w:p w14:paraId="11162F2C" w14:textId="77777777" w:rsidR="007B1A84" w:rsidRDefault="002A0261" w:rsidP="003E0C33">
      <w:pPr>
        <w:pStyle w:val="P68B1DB1-a58"/>
        <w:numPr>
          <w:ilvl w:val="0"/>
          <w:numId w:val="25"/>
        </w:numPr>
        <w:tabs>
          <w:tab w:val="left" w:pos="391"/>
          <w:tab w:val="left" w:pos="393"/>
        </w:tabs>
        <w:spacing w:after="120"/>
        <w:ind w:right="421"/>
      </w:pPr>
      <w:r>
        <w:t>Οι επενδύσεις που είναι επιλέξιμες για περιφερειακές επενδυτικές ενισχύσεις θα πρέπει να πραγματοποιούνται στις ενισχυόμενες περιοχές που προσδιορίζονται στον χάρτη περιφερειακών ενισχύσεων ενός κράτους μέλους.</w:t>
      </w:r>
    </w:p>
    <w:p w14:paraId="1B1C7671" w14:textId="1C971B63" w:rsidR="007B1A84" w:rsidRDefault="002A0261" w:rsidP="003E0C33">
      <w:pPr>
        <w:pStyle w:val="P68B1DB1-a58"/>
        <w:numPr>
          <w:ilvl w:val="0"/>
          <w:numId w:val="25"/>
        </w:numPr>
        <w:tabs>
          <w:tab w:val="left" w:pos="391"/>
          <w:tab w:val="left" w:pos="393"/>
        </w:tabs>
        <w:spacing w:after="120"/>
        <w:ind w:right="412"/>
      </w:pPr>
      <w:r>
        <w:t>Σύμφωνα με τον ΓΚΑΚ, το άρθρο 13 στοιχείο γ), ο ΓΚΑΚ δεν εφαρμόζεται στα καθεστώτα περιφερειακών κρατικών ενισχύσεων</w:t>
      </w:r>
      <w:r w:rsidR="00A32633">
        <w:rPr>
          <w:rStyle w:val="FootnoteReference"/>
        </w:rPr>
        <w:footnoteReference w:id="36"/>
      </w:r>
      <w:r>
        <w:t xml:space="preserve"> που στοχεύουν σε περιορισμένο αριθμό τομέων οικονομικής δραστηριότητας. Σύμφωνα με τον ΓΚΑΚ, άρθρο 2 σημείο 46) </w:t>
      </w:r>
      <w:r>
        <w:rPr>
          <w:rFonts w:ascii="Arial" w:hAnsi="Arial"/>
          <w:i/>
        </w:rPr>
        <w:t>«καθεστώς που στοχεύει σε περιορισμένο αριθμό συγκεκριμένων τομέων οικονομικής δραστηριότητας»: καθεστώς το οποίο καλύπτει δραστηριότητες που εμπίπτουν στο πεδίο εφαρμογής κάτω των πέντε τάξεων (τετραψήφιος αριθμητικός κωδικός) της στατιστικής ταξινόμησης της NACE αναθ. 2.</w:t>
      </w:r>
      <w:r>
        <w:t xml:space="preserve"> Ως εκ τούτου, για </w:t>
      </w:r>
      <w:r>
        <w:rPr>
          <w:rFonts w:ascii="Arial" w:hAnsi="Arial"/>
          <w:b/>
          <w:i/>
        </w:rPr>
        <w:t>τα καθεστώτα περιφερειακών κρατικών ενισχύσεων που αποσκοπούν στη στήριξη των κατευθυντήριων γραμμών του τομέα διαχείρισης αποβλήτων για τις κρατικές ενισχύσεις περιφερειακού χαρακτήρα 2022-2027 (ΚΓΕ) εφαρμόζονται</w:t>
      </w:r>
      <w:r>
        <w:t>.</w:t>
      </w:r>
    </w:p>
    <w:p w14:paraId="4E4DD29F" w14:textId="77777777" w:rsidR="00CA0349" w:rsidRPr="00CA0349" w:rsidRDefault="002A0261" w:rsidP="00CA0349">
      <w:pPr>
        <w:pStyle w:val="P68B1DB1-a58"/>
        <w:numPr>
          <w:ilvl w:val="0"/>
          <w:numId w:val="25"/>
        </w:numPr>
        <w:tabs>
          <w:tab w:val="left" w:pos="391"/>
          <w:tab w:val="left" w:pos="393"/>
        </w:tabs>
        <w:spacing w:after="120"/>
        <w:ind w:right="412"/>
      </w:pPr>
      <w:r>
        <w:t xml:space="preserve">Παραδείγματα, </w:t>
      </w:r>
      <w:r w:rsidRPr="00CA0349">
        <w:rPr>
          <w:lang w:val="el-GR"/>
        </w:rPr>
        <w:t>όπου</w:t>
      </w:r>
      <w:r>
        <w:t xml:space="preserve"> χρησιμοποιήθηκαν περιφερειακές κρατικές ενισχύσεις για την παροχή στήριξης για επενδύσεις σε χωριστό σύστημα συλλογής αποβλήτων, παρουσιάζονται κατωτέρω:</w:t>
      </w:r>
      <w:r w:rsidR="00A32633" w:rsidRPr="00A32633">
        <w:rPr>
          <w:lang w:val="el-GR"/>
        </w:rPr>
        <w:t xml:space="preserve"> </w:t>
      </w:r>
    </w:p>
    <w:p w14:paraId="31A68651" w14:textId="26420886" w:rsidR="007B1A84" w:rsidRDefault="002A0261" w:rsidP="00CA0349">
      <w:pPr>
        <w:pStyle w:val="P68B1DB1-a58"/>
        <w:numPr>
          <w:ilvl w:val="1"/>
          <w:numId w:val="23"/>
        </w:numPr>
        <w:tabs>
          <w:tab w:val="left" w:pos="1114"/>
        </w:tabs>
        <w:spacing w:after="120"/>
        <w:ind w:right="418"/>
      </w:pPr>
      <w:r>
        <w:t xml:space="preserve">Απόφαση της Ευρωπαϊκής Επιτροπής της 17ης Νοεμβρίου 2009 — Κρατική </w:t>
      </w:r>
      <w:hyperlink r:id="rId18">
        <w:r>
          <w:t>ενίσχυση</w:t>
        </w:r>
      </w:hyperlink>
      <w:r>
        <w:t xml:space="preserve"> SA.28907 — Ανάπτυξη χωριστών συστημάτων συλλογής αποβλήτων (Λετονία).</w:t>
      </w:r>
    </w:p>
    <w:p w14:paraId="5C7B9D7A" w14:textId="7DCB8843" w:rsidR="007B1A84" w:rsidRDefault="002A0261" w:rsidP="003E0C33">
      <w:pPr>
        <w:pStyle w:val="P68B1DB1-a58"/>
        <w:numPr>
          <w:ilvl w:val="1"/>
          <w:numId w:val="23"/>
        </w:numPr>
        <w:tabs>
          <w:tab w:val="left" w:pos="1114"/>
        </w:tabs>
        <w:spacing w:after="120"/>
        <w:ind w:right="418"/>
      </w:pPr>
      <w:r>
        <w:t xml:space="preserve">Απόφαση της Ευρωπαϊκής Επιτροπής της 18ης Ιουλίου 2018 — Κρατική </w:t>
      </w:r>
      <w:hyperlink r:id="rId19">
        <w:r>
          <w:t>ενίσχυση</w:t>
        </w:r>
      </w:hyperlink>
      <w:r>
        <w:t xml:space="preserve"> SA.46228 — Ανάπτυξη χωριστών συστημάτων συλλογής αποβλήτων (Λετονία).</w:t>
      </w:r>
    </w:p>
    <w:p w14:paraId="0D55392D" w14:textId="32930DA6" w:rsidR="007B1A84" w:rsidRDefault="00CA0349" w:rsidP="003E0C33">
      <w:pPr>
        <w:pStyle w:val="P68B1DB1-a58"/>
        <w:numPr>
          <w:ilvl w:val="0"/>
          <w:numId w:val="25"/>
        </w:numPr>
        <w:tabs>
          <w:tab w:val="left" w:pos="391"/>
          <w:tab w:val="left" w:pos="393"/>
        </w:tabs>
        <w:spacing w:after="120"/>
        <w:ind w:right="412"/>
      </w:pPr>
      <w:r>
        <w:rPr>
          <w:lang w:val="el-GR"/>
        </w:rPr>
        <w:t>Ο</w:t>
      </w:r>
      <w:r w:rsidR="00A32633">
        <w:rPr>
          <w:lang w:val="el-GR"/>
        </w:rPr>
        <w:t xml:space="preserve"> </w:t>
      </w:r>
      <w:r w:rsidR="002A0261">
        <w:t xml:space="preserve">ΓΚΑΚ, άρθρο 14 μπορεί να εφαρμόζεται σε </w:t>
      </w:r>
      <w:r w:rsidR="002A0261">
        <w:rPr>
          <w:rFonts w:ascii="Arial"/>
          <w:i/>
        </w:rPr>
        <w:t>ad hoc</w:t>
      </w:r>
      <w:r w:rsidR="003C03A9">
        <w:rPr>
          <w:rStyle w:val="FootnoteReference"/>
        </w:rPr>
        <w:footnoteReference w:id="37"/>
      </w:r>
      <w:r w:rsidR="002A0261">
        <w:t xml:space="preserve"> υποθέσεις κρατικών ενισχύσεων περιφερειακού χαρακτήρα. Ωστόσο, σύμφωνα με το άρθρο 4 στοιχείο α) του ΓΚΑΚ, ο ΓΚΑΚ δεν μπορεί να εφαρμοστεί στις κρατικές ενισχύσεις περιφερειακού χαρακτήρα (</w:t>
      </w:r>
      <w:r w:rsidR="002A0261">
        <w:rPr>
          <w:rFonts w:ascii="Arial"/>
          <w:i/>
        </w:rPr>
        <w:t>ad hoc</w:t>
      </w:r>
      <w:r w:rsidR="002A0261">
        <w:t>), όταν οι επιλέξιμες επενδυτικές δαπάνες ανέρχονται σε 110 εκατ. ευρώ ή περισσότερο και το ποσό της κρατικής ενίσχυσης ανά επιχείρηση ανά επενδυτικό σχέδιο υπερβαίνει το υπολογιζόμενο προσαρμοσμένο ποσό κρατικής ενίσχυσης (τα ποσά προβλέπονται στον ΓΚΑΚ, άρθρο 4 στοιχείο</w:t>
      </w:r>
      <w:r w:rsidR="003C03A9">
        <w:rPr>
          <w:lang w:val="el-GR"/>
        </w:rPr>
        <w:t xml:space="preserve"> </w:t>
      </w:r>
      <w:hyperlink w:anchor="_bookmark50" w:history="1">
        <w:r w:rsidR="002A0261">
          <w:t>α))</w:t>
        </w:r>
      </w:hyperlink>
      <w:r w:rsidR="002A0261">
        <w:t xml:space="preserve"> </w:t>
      </w:r>
      <w:r w:rsidR="003C03A9">
        <w:rPr>
          <w:rStyle w:val="FootnoteReference"/>
        </w:rPr>
        <w:footnoteReference w:id="38"/>
      </w:r>
      <w:r w:rsidR="002A0261">
        <w:t>.</w:t>
      </w:r>
    </w:p>
    <w:p w14:paraId="197F1D63" w14:textId="77777777" w:rsidR="007B1A84" w:rsidRDefault="002A0261" w:rsidP="003E0C33">
      <w:pPr>
        <w:pStyle w:val="P68B1DB1-a58"/>
        <w:numPr>
          <w:ilvl w:val="0"/>
          <w:numId w:val="25"/>
        </w:numPr>
        <w:tabs>
          <w:tab w:val="left" w:pos="391"/>
          <w:tab w:val="left" w:pos="393"/>
        </w:tabs>
        <w:spacing w:after="120"/>
        <w:ind w:right="409"/>
      </w:pPr>
      <w:r>
        <w:t xml:space="preserve">Ανάλογα με το καθεστώς της ενισχυόμενης περιοχής, οι κρατικές ενισχύσεις μπορούν να χορηγούνται είτε σε οποιαδήποτε μορφή αρχικών επενδύσεων είτε μόνο σε αρχικές επενδύσεις </w:t>
      </w:r>
      <w:r>
        <w:lastRenderedPageBreak/>
        <w:t>που δημιουργούν νέα οικονομική δραστηριότητα στη συγκεκριμένη περιοχή, όπως ορίζεται στα επόμενα σημεία του παρόντος GN. Ενδέχεται επίσης να υπάρχουν διαφορές ως προς το αν χορηγείται κρατική ενίσχυση σε μεγάλες επιχειρήσεις ή ΜΜΕ.</w:t>
      </w:r>
    </w:p>
    <w:p w14:paraId="3C970E9F" w14:textId="77777777" w:rsidR="007B1A84" w:rsidRDefault="002A0261" w:rsidP="003E0C33">
      <w:pPr>
        <w:pStyle w:val="P68B1DB1-a58"/>
        <w:numPr>
          <w:ilvl w:val="0"/>
          <w:numId w:val="25"/>
        </w:numPr>
        <w:tabs>
          <w:tab w:val="left" w:pos="391"/>
          <w:tab w:val="left" w:pos="393"/>
        </w:tabs>
        <w:spacing w:after="120"/>
        <w:ind w:right="424"/>
      </w:pPr>
      <w:r>
        <w:t>Επιλέξιμες επενδύσεις για περιφερειακές επενδυτικές ενισχύσεις στις ενισχυόμενες περιοχές του άρθρου 107 παράγραφος 3 στοιχείο α) για οποιοδήποτε μέγεθος επιχείρησης είναι επενδύσεις σε υλικά και άυλα στοιχεία ενεργητικού που σχετίζονται με ένα ή περισσότερα από τα ακόλουθα:</w:t>
      </w:r>
    </w:p>
    <w:p w14:paraId="0A18B152" w14:textId="77777777" w:rsidR="007B1A84" w:rsidRDefault="002A0261" w:rsidP="003E0C33">
      <w:pPr>
        <w:pStyle w:val="P68B1DB1-a58"/>
        <w:numPr>
          <w:ilvl w:val="1"/>
          <w:numId w:val="25"/>
        </w:numPr>
        <w:tabs>
          <w:tab w:val="left" w:pos="1114"/>
        </w:tabs>
        <w:spacing w:after="120"/>
        <w:ind w:left="1114" w:hanging="368"/>
        <w:rPr>
          <w:rFonts w:ascii="Symbol" w:hAnsi="Symbol"/>
        </w:rPr>
      </w:pPr>
      <w:r>
        <w:t>τη σύσταση νέας εγκατάστασης,</w:t>
      </w:r>
    </w:p>
    <w:p w14:paraId="70575C2C" w14:textId="77777777" w:rsidR="007B1A84" w:rsidRDefault="002A0261" w:rsidP="003E0C33">
      <w:pPr>
        <w:pStyle w:val="P68B1DB1-a58"/>
        <w:numPr>
          <w:ilvl w:val="1"/>
          <w:numId w:val="25"/>
        </w:numPr>
        <w:tabs>
          <w:tab w:val="left" w:pos="1114"/>
        </w:tabs>
        <w:spacing w:after="120"/>
        <w:ind w:left="1114" w:hanging="368"/>
        <w:rPr>
          <w:rFonts w:ascii="Symbol" w:hAnsi="Symbol"/>
        </w:rPr>
      </w:pPr>
      <w:r>
        <w:t>την επέκταση της δυναμικότητας υφιστάμενης εγκατάστασης,</w:t>
      </w:r>
    </w:p>
    <w:p w14:paraId="6277E577" w14:textId="77777777" w:rsidR="007B1A84" w:rsidRDefault="002A0261" w:rsidP="003E0C33">
      <w:pPr>
        <w:pStyle w:val="P68B1DB1-a58"/>
        <w:numPr>
          <w:ilvl w:val="1"/>
          <w:numId w:val="25"/>
        </w:numPr>
        <w:tabs>
          <w:tab w:val="left" w:pos="1114"/>
        </w:tabs>
        <w:spacing w:after="120"/>
        <w:ind w:left="1114" w:right="429" w:hanging="369"/>
        <w:rPr>
          <w:rFonts w:ascii="Symbol" w:hAnsi="Symbol"/>
        </w:rPr>
      </w:pPr>
      <w:r>
        <w:t>τη διαφοροποίηση της παραγωγής μιας εγκατάστασης σε προϊόντα που δεν παρήχθησαν προηγουμένως στην εγκατάσταση· είτε</w:t>
      </w:r>
    </w:p>
    <w:p w14:paraId="2CAAEC36" w14:textId="77777777" w:rsidR="007B1A84" w:rsidRDefault="002A0261" w:rsidP="003E0C33">
      <w:pPr>
        <w:pStyle w:val="P68B1DB1-a58"/>
        <w:numPr>
          <w:ilvl w:val="1"/>
          <w:numId w:val="25"/>
        </w:numPr>
        <w:tabs>
          <w:tab w:val="left" w:pos="1114"/>
        </w:tabs>
        <w:spacing w:after="120"/>
        <w:ind w:left="1114" w:right="426" w:hanging="369"/>
        <w:rPr>
          <w:rFonts w:ascii="Symbol" w:hAnsi="Symbol"/>
        </w:rPr>
      </w:pPr>
      <w:r>
        <w:t>θεμελιώδης μεταβολή της συνολικής παραγωγικής διαδικασίας του προϊόντος ή των προϊόντων που αφορά η επένδυση στην εγκατάσταση.</w:t>
      </w:r>
    </w:p>
    <w:p w14:paraId="34348F43" w14:textId="77777777" w:rsidR="007B1A84" w:rsidRDefault="002A0261" w:rsidP="003E0C33">
      <w:pPr>
        <w:pStyle w:val="P68B1DB1-a58"/>
        <w:numPr>
          <w:ilvl w:val="0"/>
          <w:numId w:val="25"/>
        </w:numPr>
        <w:tabs>
          <w:tab w:val="left" w:pos="391"/>
          <w:tab w:val="left" w:pos="393"/>
        </w:tabs>
        <w:spacing w:after="120"/>
        <w:ind w:right="424"/>
      </w:pPr>
      <w:r>
        <w:t>Στο «άρθρο 107 παράγραφος 3 στοιχείο γ) ενισχυόμενες περιοχές», οι περιφερειακές επενδυτικές ενισχύσεις προς μικρές και μεσαίες επιχειρήσεις (ΜΜΕ) μπορούν να χορηγούνται για οποιαδήποτε μορφή αρχικής επένδυσης που αναφέρεται στο σημείο 69 του παρόντος σημειώματος.</w:t>
      </w:r>
    </w:p>
    <w:p w14:paraId="5F68C74B" w14:textId="77777777" w:rsidR="007B1A84" w:rsidRDefault="002A0261" w:rsidP="003E0C33">
      <w:pPr>
        <w:pStyle w:val="P68B1DB1-a58"/>
        <w:numPr>
          <w:ilvl w:val="0"/>
          <w:numId w:val="25"/>
        </w:numPr>
        <w:tabs>
          <w:tab w:val="left" w:pos="391"/>
          <w:tab w:val="left" w:pos="393"/>
        </w:tabs>
        <w:spacing w:after="120"/>
        <w:ind w:right="419"/>
      </w:pPr>
      <w:r>
        <w:t xml:space="preserve">Στο «άρθρο 107 παράγραφος 3 στοιχείο γ) ενισχυόμενες περιοχές», οι </w:t>
      </w:r>
      <w:r>
        <w:rPr>
          <w:rFonts w:ascii="Arial" w:hAnsi="Arial"/>
          <w:b/>
          <w:i/>
        </w:rPr>
        <w:t>περιφερειακές επενδυτικές ενισχύσεις σε μεγάλες επιχειρήσεις μπορούν να χορηγούνται μόνο για αρχική επένδυση που δημιουργεί νέα οικονομική δραστηριότητα στη συγκεκριμένη περιοχή</w:t>
      </w:r>
      <w:r>
        <w:t xml:space="preserve">. Σύμφωνα με τον ΓΚΑΚ, το άρθρο 2 παράγραφος 51 ως </w:t>
      </w:r>
      <w:r>
        <w:rPr>
          <w:rFonts w:ascii="Arial" w:hAnsi="Arial"/>
          <w:i/>
        </w:rPr>
        <w:t>«αρχική επένδυση που δημιουργεί νέα οικονομική δραστηριότητα» σημαίνει: α) επένδυση σε ενσώματα και άυλα περιουσιακά στοιχεία που σχετίζονται με ένα ή και τα δύο από τα ακόλουθα: τη δημιουργία νέας εγκατάστασης· τη διαφοροποίηση της δραστηριότητας μιας εγκατάστασης, υπό την προϋπόθεση ότι η νέα δραστηριότητα δεν είναι η ίδια ή παρόμοια με τη δραστηριότητα που ασκήθηκε προηγουμένως στην εγκατάσταση· ή β) απόκτηση περιουσιακών στοιχείων που ανήκουν σε εγκατάσταση που έχει κλείσει ή θα είχε κλείσει εάν δεν είχε αγοραστεί, υπό την προϋπόθεση ότι η νέα δραστηριότητα που πρόκειται να ασκηθεί με τη χρήση των αποκτηθέντων περιουσιακών στοιχείων δεν είναι η ίδια ή παρόμοια δραστηριότητα με εκείνη που ασκήθηκε στην εγκατάσταση πριν από την απόκτηση. Η μοναδική απόκτηση των μετοχών μιας επιχείρησης δεν μπορεί να χαρακτηριστεί ως αρχική επένδυση που δημιουργεί νέα οικονομική δραστηριότητα»</w:t>
      </w:r>
      <w:r>
        <w:t>.</w:t>
      </w:r>
    </w:p>
    <w:p w14:paraId="51B26CCD" w14:textId="77777777" w:rsidR="007B1A84" w:rsidRDefault="002A0261" w:rsidP="003E0C33">
      <w:pPr>
        <w:pStyle w:val="P68B1DB1-a58"/>
        <w:numPr>
          <w:ilvl w:val="0"/>
          <w:numId w:val="25"/>
        </w:numPr>
        <w:tabs>
          <w:tab w:val="left" w:pos="391"/>
          <w:tab w:val="left" w:pos="393"/>
        </w:tabs>
        <w:spacing w:after="120"/>
        <w:ind w:right="423"/>
      </w:pPr>
      <w:r>
        <w:t>Όταν χορηγείται κρατική ενίσχυση σε μεγάλες επιχειρήσεις για θεμελιώδη αλλαγή στη διαδικασία παραγωγής, οι επιλέξιμες δαπάνες υπερβαίνουν την απόσβεση των στοιχείων ενεργητικού που συνδέονται με τη δραστηριότητα που πρόκειται να εκσυγχρονιστεί κατά τα προηγούμενα 3 έτη.</w:t>
      </w:r>
    </w:p>
    <w:p w14:paraId="4504C52C" w14:textId="77777777" w:rsidR="007B1A84" w:rsidRDefault="002A0261" w:rsidP="003E0C33">
      <w:pPr>
        <w:pStyle w:val="P68B1DB1-a58"/>
        <w:numPr>
          <w:ilvl w:val="0"/>
          <w:numId w:val="25"/>
        </w:numPr>
        <w:tabs>
          <w:tab w:val="left" w:pos="391"/>
          <w:tab w:val="left" w:pos="393"/>
        </w:tabs>
        <w:spacing w:after="120"/>
        <w:ind w:right="425"/>
      </w:pPr>
      <w:r>
        <w:t>Όταν χορηγείται κρατική ενίσχυση σε μεγάλες επιχειρήσεις ή ΜΜΕ για διαφοροποίηση υφιστάμενης εγκατάστασης, οι επιλέξιμες δαπάνες υπερβαίνουν κατά τουλάχιστον 200 % τη λογιστική αξία των επαναχρησιμοποιηθέντων στοιχείων ενεργητικού, όπως καταγράφονται στο έτος f που προηγείται της έναρξης των εργασιών.</w:t>
      </w:r>
    </w:p>
    <w:p w14:paraId="14E4E5B5" w14:textId="77777777" w:rsidR="006453CB" w:rsidRPr="006453CB" w:rsidRDefault="002A0261" w:rsidP="002F1951">
      <w:pPr>
        <w:pStyle w:val="P68B1DB1-a58"/>
        <w:numPr>
          <w:ilvl w:val="0"/>
          <w:numId w:val="25"/>
        </w:numPr>
        <w:tabs>
          <w:tab w:val="left" w:pos="391"/>
          <w:tab w:val="left" w:pos="393"/>
        </w:tabs>
        <w:spacing w:after="120"/>
        <w:ind w:right="413"/>
      </w:pPr>
      <w:r>
        <w:t>Μετά την ολοκλήρωση των επενδύσεων, διατηρούνται στην περιοχή στην οποία πραγματοποιήθηκαν επενδύσεις για τουλάχιστον 5 έτη ή 3 έτη για ΜΜΕ.</w:t>
      </w:r>
    </w:p>
    <w:p w14:paraId="0F1BAB2E" w14:textId="3D738C94" w:rsidR="007B1A84" w:rsidRDefault="002A0261" w:rsidP="002F1951">
      <w:pPr>
        <w:pStyle w:val="P68B1DB1-a58"/>
        <w:numPr>
          <w:ilvl w:val="0"/>
          <w:numId w:val="25"/>
        </w:numPr>
        <w:tabs>
          <w:tab w:val="left" w:pos="391"/>
          <w:tab w:val="left" w:pos="393"/>
        </w:tabs>
        <w:spacing w:after="120"/>
        <w:ind w:right="413"/>
      </w:pPr>
      <w:r>
        <w:t>Οι περιφερειακές επενδυτικές ενισχύσεις μπορούν να εφαρμόζονται όταν οι επενδύσεις απευθύνονται σε προκαθορισμένους δικαιούχους.</w:t>
      </w:r>
    </w:p>
    <w:p w14:paraId="3382C3A1" w14:textId="68E736B4" w:rsidR="007B1A84" w:rsidRDefault="002A0261" w:rsidP="003E0C33">
      <w:pPr>
        <w:pStyle w:val="P68B1DB1-a58"/>
        <w:numPr>
          <w:ilvl w:val="0"/>
          <w:numId w:val="25"/>
        </w:numPr>
        <w:tabs>
          <w:tab w:val="left" w:pos="391"/>
          <w:tab w:val="left" w:pos="393"/>
        </w:tabs>
        <w:spacing w:after="120"/>
        <w:ind w:right="424"/>
      </w:pPr>
      <w:r>
        <w:t>Κάθε αρχική επένδυση που σχετίζεται με την ίδια ή παρόμοια δραστηριότητα</w:t>
      </w:r>
      <w:hyperlink w:anchor="_bookmark52" w:history="1">
        <w:r>
          <w:t>y</w:t>
        </w:r>
        <w:r w:rsidR="006453CB">
          <w:rPr>
            <w:rStyle w:val="FootnoteReference"/>
          </w:rPr>
          <w:footnoteReference w:id="39"/>
        </w:r>
      </w:hyperlink>
      <w:r>
        <w:t xml:space="preserve"> που ξεκίνησε από τον ίδιο δικαιούχο (σε επίπεδο ομίλου) εντός περιόδου 3 ετών από την ημερομηνία έναρξης των εργασιών σε άλλη ενισχυόμενη επένδυση στην ίδια περιφέρεια επιπέδου 3 της </w:t>
      </w:r>
      <w:r>
        <w:lastRenderedPageBreak/>
        <w:t>ονοματολογίας των εδαφικών στατιστικών μονάδων θεωρείται μέρος ενός ενιαίου επενδυτικού σχεδίου.</w:t>
      </w:r>
    </w:p>
    <w:p w14:paraId="3A97B425" w14:textId="4C262297" w:rsidR="007B1A84" w:rsidRDefault="002A0261" w:rsidP="003E0C33">
      <w:pPr>
        <w:pStyle w:val="P68B1DB1-a58"/>
        <w:numPr>
          <w:ilvl w:val="0"/>
          <w:numId w:val="25"/>
        </w:numPr>
        <w:tabs>
          <w:tab w:val="left" w:pos="391"/>
          <w:tab w:val="left" w:pos="393"/>
        </w:tabs>
        <w:spacing w:after="120"/>
        <w:ind w:right="426"/>
      </w:pPr>
      <w:r>
        <w:t xml:space="preserve">Ο δικαιούχος της κρατικής ενίσχυσης παρέχει χρηματοδοτική συνεισφορά ύψους τουλάχιστον 25 % των επιλέξιμων δαπανών με ίδιους πόρους ή με εξωτερική χρηματοδότηση, υπό μορφή </w:t>
      </w:r>
      <w:r w:rsidR="008D670F">
        <w:rPr>
          <w:lang w:val="el-GR"/>
        </w:rPr>
        <w:t xml:space="preserve">που δεν </w:t>
      </w:r>
      <w:r w:rsidR="00C148A5">
        <w:rPr>
          <w:lang w:val="el-GR"/>
        </w:rPr>
        <w:t>αποτελεί</w:t>
      </w:r>
      <w:r w:rsidR="008D670F">
        <w:rPr>
          <w:lang w:val="el-GR"/>
        </w:rPr>
        <w:t xml:space="preserve"> </w:t>
      </w:r>
      <w:r>
        <w:t>δημόσια στήριξη.</w:t>
      </w:r>
    </w:p>
    <w:p w14:paraId="68E6B78F" w14:textId="6F483FFC" w:rsidR="007B1A84" w:rsidRDefault="002A0261" w:rsidP="003E0C33">
      <w:pPr>
        <w:pStyle w:val="P68B1DB1-a58"/>
        <w:numPr>
          <w:ilvl w:val="0"/>
          <w:numId w:val="25"/>
        </w:numPr>
        <w:tabs>
          <w:tab w:val="left" w:pos="391"/>
          <w:tab w:val="left" w:pos="393"/>
        </w:tabs>
        <w:spacing w:after="120"/>
        <w:ind w:right="425"/>
      </w:pPr>
      <w:r>
        <w:t>Ο δικαιούχος της κρατικής ενίσχυσης επιβεβαιώνει ότι δεν πραγματοποίησε μετεγκατάσταση</w:t>
      </w:r>
      <w:r w:rsidR="00C148A5">
        <w:rPr>
          <w:rStyle w:val="FootnoteReference"/>
        </w:rPr>
        <w:footnoteReference w:id="40"/>
      </w:r>
      <w:r>
        <w:t xml:space="preserve"> στην εγκατάσταση στην οποία πρόκειται να πραγματοποιηθεί η αρχική επένδυση για την οποία ζητείται κρατική ενίσχυση, κατά τα δύο έτη που προηγούνται της αίτησης ενίσχυσης, και αναλαμβάνει τη δέσμευση ότι δεν θα το πράξει εντός περιόδου δύο ετών από την ολοκλήρωση της αρχικής επένδυσης για την οποία ζητείται κρατική ενίσχυση.</w:t>
      </w:r>
    </w:p>
    <w:p w14:paraId="4A4F5B33" w14:textId="77777777" w:rsidR="007B1A84" w:rsidRDefault="007B1A84" w:rsidP="003E0C33">
      <w:pPr>
        <w:pStyle w:val="BodyText"/>
        <w:spacing w:after="120"/>
      </w:pPr>
    </w:p>
    <w:p w14:paraId="616A8712" w14:textId="77777777" w:rsidR="007B1A84" w:rsidRDefault="002A0261" w:rsidP="003E0C33">
      <w:pPr>
        <w:pStyle w:val="Heading4"/>
        <w:numPr>
          <w:ilvl w:val="1"/>
          <w:numId w:val="40"/>
        </w:numPr>
        <w:tabs>
          <w:tab w:val="left" w:pos="599"/>
          <w:tab w:val="left" w:pos="601"/>
        </w:tabs>
        <w:spacing w:after="120"/>
        <w:ind w:right="414"/>
        <w:jc w:val="both"/>
      </w:pPr>
      <w:bookmarkStart w:id="20" w:name="_bookmark51"/>
      <w:bookmarkEnd w:id="20"/>
      <w:r>
        <w:t>Εκτιμήσεις που συνδέονται με την εφαρμογή κρατικών ενισχύσεων για τη χωριστή συλλογή και διαλογή αποβλήτων, την επαναχρησιμοποίηση και την ανακύκλωση αποβλήτων κ.λπ. (άρθρο 47 του ΓΚΑΚ και τμήμα 4.4 των ΚΓΚΕΠΕ)</w:t>
      </w:r>
    </w:p>
    <w:p w14:paraId="4ECCABAF" w14:textId="77777777" w:rsidR="007B1A84" w:rsidRDefault="002A0261" w:rsidP="00670F98">
      <w:pPr>
        <w:pStyle w:val="P68B1DB1-a58"/>
        <w:numPr>
          <w:ilvl w:val="0"/>
          <w:numId w:val="25"/>
        </w:numPr>
        <w:tabs>
          <w:tab w:val="left" w:pos="392"/>
        </w:tabs>
        <w:spacing w:after="120"/>
        <w:ind w:left="392" w:right="429" w:hanging="367"/>
      </w:pPr>
      <w:r>
        <w:t>Από την 1η Ιουλίου 2023 μπορεί να χορηγείται κατόπιν στοχευμένης στήριξης σύμφωνα με τον ΓΚΑΚ, άρθρο 47:</w:t>
      </w:r>
    </w:p>
    <w:p w14:paraId="1CE332DE" w14:textId="77777777" w:rsidR="007B1A84" w:rsidRDefault="002A0261" w:rsidP="003E0C33">
      <w:pPr>
        <w:pStyle w:val="P68B1DB1-a58"/>
        <w:numPr>
          <w:ilvl w:val="1"/>
          <w:numId w:val="25"/>
        </w:numPr>
        <w:tabs>
          <w:tab w:val="left" w:pos="1114"/>
        </w:tabs>
        <w:spacing w:after="120"/>
        <w:ind w:left="1114" w:right="416" w:hanging="369"/>
        <w:rPr>
          <w:rFonts w:ascii="Symbol" w:hAnsi="Symbol"/>
        </w:rPr>
      </w:pPr>
      <w:r>
        <w:t>επενδύσεις για την πρόληψη και τη μείωση της παραγωγής αποβλήτων, της προετοιμασίας για επαναχρησιμοποίηση, της απολύμανσης και της ανακύκλωσης των αποβλήτων που παράγονται από τον δικαιούχο ή επενδύσεις για την προετοιμασία για επαναχρησιμοποίηση, την απολύμανση και την ανακύκλωση αποβλήτων που παράγονται από τρίτους και τα οποία διαφορετικά θα ήταν αχρησιμοποίητα, θα απορρίπτονταν ή θα υποβάλλονταν σε επεξεργασία με βάση εργασία επεξεργασίας χαμηλότερη κατά τη σειρά προτεραιότητας της ιεράρχησης των αποβλήτων που αναφέρεται στο άρθρο 4 παράγραφος 1 της οδηγίας για τα απόβλητα ή με λιγότερο αποδοτικό από πλευράς πόρων τρόπο, ή θα οδηγούσαν σε χαμηλότερη ποιότητα παραγωγής ανακύκλωσης,</w:t>
      </w:r>
    </w:p>
    <w:p w14:paraId="53231D67" w14:textId="77777777" w:rsidR="007B1A84" w:rsidRDefault="002A0261" w:rsidP="003E0C33">
      <w:pPr>
        <w:pStyle w:val="P68B1DB1-a58"/>
        <w:numPr>
          <w:ilvl w:val="1"/>
          <w:numId w:val="25"/>
        </w:numPr>
        <w:tabs>
          <w:tab w:val="left" w:pos="1114"/>
        </w:tabs>
        <w:spacing w:after="120"/>
        <w:ind w:left="1114" w:right="426" w:hanging="369"/>
        <w:rPr>
          <w:rFonts w:ascii="Symbol" w:hAnsi="Symbol"/>
        </w:rPr>
      </w:pPr>
      <w:r>
        <w:t>επενδύσεις για τη συλλογή, τη διαλογή, την απολύμανση, την προεπεξεργασία και την επεξεργασία άλλων προϊόντων, υλικών ή ουσιών που παράγονται από τον δικαιούχο ή από τρίτους και οι οποίες διαφορετικά θα ήταν αχρησιμοποίητες ή θα χρησιμοποιούνται με λιγότερο αποδοτικό τρόπο από πλευράς πόρων,</w:t>
      </w:r>
    </w:p>
    <w:p w14:paraId="052BDF73" w14:textId="77777777" w:rsidR="007B1A84" w:rsidRDefault="002A0261" w:rsidP="003E0C33">
      <w:pPr>
        <w:pStyle w:val="P68B1DB1-a58"/>
        <w:numPr>
          <w:ilvl w:val="1"/>
          <w:numId w:val="25"/>
        </w:numPr>
        <w:tabs>
          <w:tab w:val="left" w:pos="1114"/>
        </w:tabs>
        <w:spacing w:after="120"/>
        <w:ind w:left="1114" w:right="427" w:hanging="369"/>
        <w:rPr>
          <w:rFonts w:ascii="Symbol" w:hAnsi="Symbol"/>
        </w:rPr>
      </w:pPr>
      <w:r>
        <w:t>επενδύσεις για τη χωριστή συλλογή και διαλογή των αποβλήτων με σκοπό την προετοιμασία τους για επαναχρησιμοποίηση ή ανακύκλωση.</w:t>
      </w:r>
    </w:p>
    <w:p w14:paraId="7F27E8E2" w14:textId="77777777" w:rsidR="007B1A84" w:rsidRDefault="002A0261" w:rsidP="003E0C33">
      <w:pPr>
        <w:pStyle w:val="P68B1DB1-a58"/>
        <w:numPr>
          <w:ilvl w:val="0"/>
          <w:numId w:val="25"/>
        </w:numPr>
        <w:tabs>
          <w:tab w:val="left" w:pos="391"/>
          <w:tab w:val="left" w:pos="393"/>
        </w:tabs>
        <w:spacing w:after="120"/>
        <w:ind w:right="421"/>
      </w:pPr>
      <w:r>
        <w:t>Σύμφωνα με τον ΓΚΑΚ, το άρθρο 47 παράγραφος 4 δεν μπορεί να χορηγηθεί κρατική ενίσχυση για την απαλλαγή των επιχειρήσεων που παράγουν απόβλητα από κάθε κόστος ή υποχρέωση που σχετίζεται με την επεξεργασία αποβλήτων για τα οποία ευθύνονται βάσει της ενωσιακής ή της εθνικής νομοθεσίας, συμπεριλαμβανομένων των καθεστώτων ΔΕΠ (αρχή «ο ρυπαίνων πληρώνει»), ή από το κόστος που θα πρέπει να θεωρείται κανονικό κόστος για μια επιχείρηση.</w:t>
      </w:r>
    </w:p>
    <w:p w14:paraId="391E2974" w14:textId="7C3AD528" w:rsidR="007B1A84" w:rsidRDefault="002A0261" w:rsidP="003E0C33">
      <w:pPr>
        <w:pStyle w:val="P68B1DB1-a58"/>
        <w:numPr>
          <w:ilvl w:val="0"/>
          <w:numId w:val="25"/>
        </w:numPr>
        <w:tabs>
          <w:tab w:val="left" w:pos="391"/>
          <w:tab w:val="left" w:pos="393"/>
        </w:tabs>
        <w:spacing w:after="120"/>
        <w:ind w:right="433"/>
      </w:pPr>
      <w:r>
        <w:t xml:space="preserve">Σύμφωνα με </w:t>
      </w:r>
      <w:r w:rsidR="00670F98">
        <w:t>τον ΓΚΑΚ</w:t>
      </w:r>
      <w:r>
        <w:t>, το άρθρο 47 παράγραφος 10 δεν μπορεί να χορηγηθεί κρατική ενίσχυση για επενδύσεις που πραγματοποιούνται με σκοπό τη συμμόρφωση με τα ενωσιακά πρότυπα που έχουν εγκριθεί και ισχύουν.</w:t>
      </w:r>
    </w:p>
    <w:p w14:paraId="47E282BB" w14:textId="77777777" w:rsidR="007B1A84" w:rsidRDefault="002A0261" w:rsidP="003E0C33">
      <w:pPr>
        <w:pStyle w:val="P68B1DB1-a58"/>
        <w:numPr>
          <w:ilvl w:val="0"/>
          <w:numId w:val="25"/>
        </w:numPr>
        <w:tabs>
          <w:tab w:val="left" w:pos="391"/>
          <w:tab w:val="left" w:pos="393"/>
        </w:tabs>
        <w:spacing w:after="120"/>
        <w:ind w:right="414"/>
      </w:pPr>
      <w:bookmarkStart w:id="21" w:name="_bookmark53"/>
      <w:bookmarkEnd w:id="21"/>
      <w:r>
        <w:t>Σύμφωνα με τον ΓΚΑΚ, το άρθρο 47 παράγραφος 6 δεν μπορεί να χορηγηθεί σε επενδύσεις που σχετίζονται με τεχνολογίες που συνιστούν ήδη κερδοφόρα καθιερωμένη εμπορική πρακτική σε ολόκληρη την ΕΕ.</w:t>
      </w:r>
    </w:p>
    <w:p w14:paraId="57BE0BE9" w14:textId="6F416BE4" w:rsidR="007B1A84" w:rsidRDefault="002A0261" w:rsidP="003E0C33">
      <w:pPr>
        <w:pStyle w:val="P68B1DB1-a58"/>
        <w:numPr>
          <w:ilvl w:val="0"/>
          <w:numId w:val="25"/>
        </w:numPr>
        <w:tabs>
          <w:tab w:val="left" w:pos="391"/>
          <w:tab w:val="left" w:pos="393"/>
        </w:tabs>
        <w:spacing w:after="120"/>
        <w:ind w:right="414"/>
        <w:rPr>
          <w:rFonts w:ascii="Arial" w:hAnsi="Arial"/>
          <w:i/>
        </w:rPr>
      </w:pPr>
      <w:r>
        <w:t xml:space="preserve">Η ΕΚ παρέσχε διευκρινίσεις σχετικά με την εφαρμογή του ΓΚΑΚ, άρθρο 47 παράγραφος 6 στο </w:t>
      </w:r>
      <w:r>
        <w:lastRenderedPageBreak/>
        <w:t>e-WIK</w:t>
      </w:r>
      <w:hyperlink w:anchor="_bookmark54" w:history="1">
        <w:r>
          <w:t>I</w:t>
        </w:r>
        <w:r w:rsidR="00561E64">
          <w:rPr>
            <w:rStyle w:val="FootnoteReference"/>
          </w:rPr>
          <w:footnoteReference w:id="41"/>
        </w:r>
      </w:hyperlink>
      <w:r>
        <w:t xml:space="preserve">. Σύμφωνα με την Ευρωπαϊκή Επιτροπή, </w:t>
      </w:r>
      <w:r>
        <w:rPr>
          <w:rFonts w:ascii="Arial" w:hAnsi="Arial"/>
          <w:i/>
        </w:rPr>
        <w:t>«για παράδειγμα, η ανακύκλωση χαρτιού, γυαλιού και μετάλλων αποτελούν εκτεταμένες δραστηριότητες ανακύκλωσης στην Ένωση· είναι επίσης κερδοφόρες καθώς αναπτύσσονται στην Ένωση χωρίς δημόσιες επιδοτήσεις. Δεν υπάρχει καθορισμένο σύνολο κριτηρίων που πρέπει να πληρούνται για την εκπλήρωση αυτής της προϋπόθεσης, δεδομένου ότι το κατά πόσον κάτι είναι μια κερδοφόρα καθιερωμένη εμπορική πρακτική εξελίσσεται με την πάροδο του χρόνου. Εάν η δραστηριότητα είναι ήδη διαδεδομένη στην Ένωση χωρίς δημόσια στήριξη, αυτό θα αποτελούσε ισχυρή ένδειξη ότι η δραστηριότητα για την οποία προγραμματίζεται η ενίσχυση εμπίπτει στο άρθρο 47 παράγραφος 6 και, ως εκ τούτου, αποκλείεται για ενίσχυση δυνάμει του εν λόγω άρθρου του ΓΚΑΚ.»</w:t>
      </w:r>
    </w:p>
    <w:p w14:paraId="30DBCA87" w14:textId="77777777" w:rsidR="007B1A84" w:rsidRDefault="002A0261" w:rsidP="003E0C33">
      <w:pPr>
        <w:pStyle w:val="P68B1DB1-a58"/>
        <w:numPr>
          <w:ilvl w:val="0"/>
          <w:numId w:val="25"/>
        </w:numPr>
        <w:tabs>
          <w:tab w:val="left" w:pos="391"/>
          <w:tab w:val="left" w:pos="393"/>
        </w:tabs>
        <w:spacing w:after="120"/>
        <w:ind w:right="394"/>
      </w:pPr>
      <w:r>
        <w:t>Εξακολουθούν να υπάρχουν ανεπάρκειες της αγοράς όταν οι συμμετέχοντες στην αγορά δεν θα πραγματοποιούσαν επενδύσεις εάν δεν χορηγούνταν κρατική ενίσχυση. Ενδέχεται επίσης να υπάρχουν ανεπάρκειες της αγοράς όταν η αρχή «ο ρυπαίνων πληρώνει» τηρείται πλήρως σύμφωνα με τις εθνικές νομικές διατάξεις (για παράδειγμα, καταβαλλόμενα τέλη πλήρους κάλυψης του κόστους, εισαγωγή του συστήματος pay- as-throw, σύστημα διευρυμένης ευθύνης του παραγωγού που ρυθμίζεται και λειτουργεί).</w:t>
      </w:r>
    </w:p>
    <w:p w14:paraId="7AF5718F" w14:textId="77777777" w:rsidR="007B1A84" w:rsidRDefault="002A0261" w:rsidP="003E0C33">
      <w:pPr>
        <w:pStyle w:val="P68B1DB1-a58"/>
        <w:numPr>
          <w:ilvl w:val="0"/>
          <w:numId w:val="25"/>
        </w:numPr>
        <w:tabs>
          <w:tab w:val="left" w:pos="391"/>
          <w:tab w:val="left" w:pos="393"/>
        </w:tabs>
        <w:spacing w:after="120"/>
        <w:ind w:right="413"/>
      </w:pPr>
      <w:r>
        <w:rPr>
          <w:rFonts w:ascii="Arial"/>
          <w:b/>
          <w:i/>
        </w:rPr>
        <w:t>Τα</w:t>
      </w:r>
      <w:r>
        <w:rPr>
          <w:rFonts w:ascii="Arial"/>
          <w:b/>
          <w:i/>
        </w:rPr>
        <w:t xml:space="preserve"> </w:t>
      </w:r>
      <w:r>
        <w:rPr>
          <w:rFonts w:ascii="Arial"/>
          <w:b/>
          <w:i/>
        </w:rPr>
        <w:t>κράτη</w:t>
      </w:r>
      <w:r>
        <w:rPr>
          <w:rFonts w:ascii="Arial"/>
          <w:b/>
          <w:i/>
        </w:rPr>
        <w:t xml:space="preserve"> </w:t>
      </w:r>
      <w:r>
        <w:rPr>
          <w:rFonts w:ascii="Arial"/>
          <w:b/>
          <w:i/>
        </w:rPr>
        <w:t>μέλη</w:t>
      </w:r>
      <w:r>
        <w:rPr>
          <w:rFonts w:ascii="Arial"/>
          <w:b/>
          <w:i/>
        </w:rPr>
        <w:t xml:space="preserve"> </w:t>
      </w:r>
      <w:r>
        <w:rPr>
          <w:rFonts w:ascii="Arial"/>
          <w:b/>
          <w:i/>
        </w:rPr>
        <w:t>έχουν</w:t>
      </w:r>
      <w:r>
        <w:rPr>
          <w:rFonts w:ascii="Arial"/>
          <w:b/>
          <w:i/>
        </w:rPr>
        <w:t xml:space="preserve"> </w:t>
      </w:r>
      <w:r>
        <w:rPr>
          <w:rFonts w:ascii="Arial"/>
          <w:b/>
          <w:i/>
        </w:rPr>
        <w:t>εφαρμόσει</w:t>
      </w:r>
      <w:r>
        <w:rPr>
          <w:rFonts w:ascii="Arial"/>
          <w:b/>
          <w:i/>
        </w:rPr>
        <w:t xml:space="preserve"> </w:t>
      </w:r>
      <w:r>
        <w:rPr>
          <w:rFonts w:ascii="Arial"/>
          <w:b/>
          <w:i/>
        </w:rPr>
        <w:t>τον</w:t>
      </w:r>
      <w:r>
        <w:rPr>
          <w:rFonts w:ascii="Arial"/>
          <w:b/>
          <w:i/>
        </w:rPr>
        <w:t xml:space="preserve"> </w:t>
      </w:r>
      <w:r>
        <w:rPr>
          <w:rFonts w:ascii="Arial"/>
          <w:b/>
          <w:i/>
        </w:rPr>
        <w:t>ΓΚΑΚ</w:t>
      </w:r>
      <w:r>
        <w:rPr>
          <w:rFonts w:ascii="Arial"/>
          <w:b/>
          <w:i/>
        </w:rPr>
        <w:t xml:space="preserve">, </w:t>
      </w:r>
      <w:r>
        <w:rPr>
          <w:rFonts w:ascii="Arial"/>
          <w:b/>
          <w:i/>
        </w:rPr>
        <w:t>άρθρο</w:t>
      </w:r>
      <w:r>
        <w:rPr>
          <w:rFonts w:ascii="Arial"/>
          <w:b/>
          <w:i/>
        </w:rPr>
        <w:t xml:space="preserve"> 47 </w:t>
      </w:r>
      <w:r>
        <w:rPr>
          <w:rFonts w:ascii="Arial"/>
          <w:b/>
          <w:i/>
        </w:rPr>
        <w:t>για</w:t>
      </w:r>
      <w:r>
        <w:rPr>
          <w:rFonts w:ascii="Arial"/>
          <w:b/>
          <w:i/>
        </w:rPr>
        <w:t xml:space="preserve"> </w:t>
      </w:r>
      <w:r>
        <w:rPr>
          <w:rFonts w:ascii="Arial"/>
          <w:b/>
          <w:i/>
        </w:rPr>
        <w:t>επενδύσεις</w:t>
      </w:r>
      <w:r>
        <w:rPr>
          <w:rFonts w:ascii="Arial"/>
          <w:b/>
          <w:i/>
        </w:rPr>
        <w:t xml:space="preserve"> </w:t>
      </w:r>
      <w:r>
        <w:rPr>
          <w:rFonts w:ascii="Arial"/>
          <w:b/>
          <w:i/>
        </w:rPr>
        <w:t>για</w:t>
      </w:r>
      <w:r>
        <w:rPr>
          <w:rFonts w:ascii="Arial"/>
          <w:b/>
          <w:i/>
        </w:rPr>
        <w:t xml:space="preserve"> </w:t>
      </w:r>
      <w:r>
        <w:rPr>
          <w:rFonts w:ascii="Arial"/>
          <w:b/>
          <w:i/>
        </w:rPr>
        <w:t>την</w:t>
      </w:r>
      <w:r>
        <w:rPr>
          <w:rFonts w:ascii="Arial"/>
          <w:b/>
          <w:i/>
        </w:rPr>
        <w:t xml:space="preserve"> </w:t>
      </w:r>
      <w:r>
        <w:rPr>
          <w:rFonts w:ascii="Arial"/>
          <w:b/>
          <w:i/>
          <w:u w:val="single"/>
        </w:rPr>
        <w:t>παροχή</w:t>
      </w:r>
      <w:r>
        <w:rPr>
          <w:rFonts w:ascii="Arial"/>
          <w:b/>
          <w:i/>
        </w:rPr>
        <w:t xml:space="preserve"> </w:t>
      </w:r>
      <w:r>
        <w:rPr>
          <w:rFonts w:ascii="Arial"/>
          <w:b/>
          <w:i/>
        </w:rPr>
        <w:t>κινήτρων</w:t>
      </w:r>
      <w:r>
        <w:rPr>
          <w:rFonts w:ascii="Arial"/>
          <w:b/>
          <w:i/>
        </w:rPr>
        <w:t xml:space="preserve"> </w:t>
      </w:r>
      <w:r>
        <w:rPr>
          <w:rFonts w:ascii="Arial"/>
          <w:b/>
          <w:i/>
        </w:rPr>
        <w:t>για</w:t>
      </w:r>
      <w:r>
        <w:rPr>
          <w:rFonts w:ascii="Arial"/>
          <w:b/>
          <w:i/>
        </w:rPr>
        <w:t xml:space="preserve"> </w:t>
      </w:r>
      <w:r>
        <w:rPr>
          <w:rFonts w:ascii="Arial"/>
          <w:b/>
          <w:i/>
        </w:rPr>
        <w:t>τη</w:t>
      </w:r>
      <w:r>
        <w:rPr>
          <w:rFonts w:ascii="Arial"/>
          <w:b/>
          <w:i/>
        </w:rPr>
        <w:t xml:space="preserve"> </w:t>
      </w:r>
      <w:r>
        <w:rPr>
          <w:rFonts w:ascii="Arial"/>
          <w:b/>
          <w:i/>
        </w:rPr>
        <w:t>συλλογή</w:t>
      </w:r>
      <w:r>
        <w:rPr>
          <w:rFonts w:ascii="Arial"/>
          <w:b/>
          <w:i/>
        </w:rPr>
        <w:t xml:space="preserve"> </w:t>
      </w:r>
      <w:r>
        <w:rPr>
          <w:rFonts w:ascii="Arial"/>
          <w:b/>
          <w:i/>
        </w:rPr>
        <w:t>διαχωρισμένων</w:t>
      </w:r>
      <w:r>
        <w:rPr>
          <w:rFonts w:ascii="Arial"/>
          <w:b/>
          <w:i/>
        </w:rPr>
        <w:t xml:space="preserve"> </w:t>
      </w:r>
      <w:r>
        <w:rPr>
          <w:rFonts w:ascii="Arial"/>
          <w:b/>
          <w:i/>
        </w:rPr>
        <w:t>αστικών</w:t>
      </w:r>
      <w:r>
        <w:rPr>
          <w:rFonts w:ascii="Arial"/>
          <w:b/>
          <w:i/>
        </w:rPr>
        <w:t xml:space="preserve"> </w:t>
      </w:r>
      <w:r>
        <w:rPr>
          <w:rFonts w:ascii="Arial"/>
          <w:b/>
          <w:i/>
        </w:rPr>
        <w:t>αποβλήτων</w:t>
      </w:r>
      <w:r>
        <w:rPr>
          <w:rFonts w:ascii="Arial"/>
          <w:b/>
          <w:i/>
        </w:rPr>
        <w:t xml:space="preserve"> </w:t>
      </w:r>
      <w:r>
        <w:rPr>
          <w:rFonts w:ascii="Arial"/>
          <w:b/>
          <w:i/>
        </w:rPr>
        <w:t>και</w:t>
      </w:r>
      <w:r>
        <w:rPr>
          <w:rFonts w:ascii="Arial"/>
          <w:b/>
          <w:i/>
        </w:rPr>
        <w:t xml:space="preserve"> </w:t>
      </w:r>
      <w:r>
        <w:rPr>
          <w:rFonts w:ascii="Arial"/>
          <w:b/>
          <w:i/>
        </w:rPr>
        <w:t>για</w:t>
      </w:r>
      <w:r>
        <w:rPr>
          <w:rFonts w:ascii="Arial"/>
          <w:b/>
          <w:i/>
        </w:rPr>
        <w:t xml:space="preserve"> </w:t>
      </w:r>
      <w:r>
        <w:rPr>
          <w:rFonts w:ascii="Arial"/>
          <w:b/>
          <w:i/>
        </w:rPr>
        <w:t>την</w:t>
      </w:r>
      <w:r>
        <w:rPr>
          <w:rFonts w:ascii="Arial"/>
          <w:b/>
          <w:i/>
        </w:rPr>
        <w:t xml:space="preserve"> </w:t>
      </w:r>
      <w:r>
        <w:rPr>
          <w:rFonts w:ascii="Arial"/>
          <w:b/>
          <w:i/>
          <w:u w:val="single"/>
        </w:rPr>
        <w:t>παροχή</w:t>
      </w:r>
      <w:r>
        <w:rPr>
          <w:rFonts w:ascii="Arial"/>
          <w:b/>
          <w:i/>
        </w:rPr>
        <w:t xml:space="preserve"> </w:t>
      </w:r>
      <w:r>
        <w:rPr>
          <w:rFonts w:ascii="Arial"/>
          <w:b/>
          <w:i/>
        </w:rPr>
        <w:t>κινήτρων</w:t>
      </w:r>
      <w:r>
        <w:rPr>
          <w:rFonts w:ascii="Arial"/>
          <w:b/>
          <w:i/>
        </w:rPr>
        <w:t xml:space="preserve"> </w:t>
      </w:r>
      <w:r>
        <w:rPr>
          <w:rFonts w:ascii="Arial"/>
          <w:b/>
          <w:i/>
        </w:rPr>
        <w:t>για</w:t>
      </w:r>
      <w:r>
        <w:rPr>
          <w:rFonts w:ascii="Arial"/>
          <w:b/>
          <w:i/>
        </w:rPr>
        <w:t xml:space="preserve"> </w:t>
      </w:r>
      <w:r>
        <w:rPr>
          <w:rFonts w:ascii="Arial"/>
          <w:b/>
          <w:i/>
        </w:rPr>
        <w:t>επενδύσεις</w:t>
      </w:r>
      <w:r>
        <w:rPr>
          <w:rFonts w:ascii="Arial"/>
          <w:b/>
          <w:i/>
        </w:rPr>
        <w:t xml:space="preserve"> </w:t>
      </w:r>
      <w:r>
        <w:rPr>
          <w:rFonts w:ascii="Arial"/>
          <w:b/>
          <w:i/>
        </w:rPr>
        <w:t>που</w:t>
      </w:r>
      <w:r>
        <w:rPr>
          <w:rFonts w:ascii="Arial"/>
          <w:b/>
          <w:i/>
        </w:rPr>
        <w:t xml:space="preserve"> </w:t>
      </w:r>
      <w:r>
        <w:rPr>
          <w:rFonts w:ascii="Arial"/>
          <w:b/>
          <w:i/>
        </w:rPr>
        <w:t>συνδέονται</w:t>
      </w:r>
      <w:r>
        <w:rPr>
          <w:rFonts w:ascii="Arial"/>
          <w:b/>
          <w:i/>
        </w:rPr>
        <w:t xml:space="preserve"> </w:t>
      </w:r>
      <w:r>
        <w:rPr>
          <w:rFonts w:ascii="Arial"/>
          <w:b/>
          <w:i/>
        </w:rPr>
        <w:t>με</w:t>
      </w:r>
      <w:r>
        <w:rPr>
          <w:rFonts w:ascii="Arial"/>
          <w:b/>
          <w:i/>
        </w:rPr>
        <w:t xml:space="preserve"> </w:t>
      </w:r>
      <w:r>
        <w:rPr>
          <w:rFonts w:ascii="Arial"/>
          <w:b/>
          <w:i/>
        </w:rPr>
        <w:t>την</w:t>
      </w:r>
      <w:r>
        <w:rPr>
          <w:rFonts w:ascii="Arial"/>
          <w:b/>
          <w:i/>
        </w:rPr>
        <w:t xml:space="preserve"> </w:t>
      </w:r>
      <w:r>
        <w:rPr>
          <w:rFonts w:ascii="Arial"/>
          <w:b/>
          <w:i/>
        </w:rPr>
        <w:t>ανακύκλωση</w:t>
      </w:r>
      <w:r>
        <w:rPr>
          <w:rFonts w:ascii="Arial"/>
          <w:b/>
          <w:i/>
        </w:rPr>
        <w:t xml:space="preserve"> </w:t>
      </w:r>
      <w:r>
        <w:rPr>
          <w:rFonts w:ascii="Arial"/>
          <w:b/>
          <w:i/>
        </w:rPr>
        <w:t>χωριστά</w:t>
      </w:r>
      <w:r>
        <w:rPr>
          <w:rFonts w:ascii="Arial"/>
          <w:b/>
          <w:i/>
        </w:rPr>
        <w:t xml:space="preserve"> </w:t>
      </w:r>
      <w:r>
        <w:rPr>
          <w:rFonts w:ascii="Arial"/>
          <w:b/>
          <w:i/>
        </w:rPr>
        <w:t>συλλεγόμενων</w:t>
      </w:r>
      <w:r>
        <w:rPr>
          <w:rFonts w:ascii="Arial"/>
          <w:b/>
          <w:i/>
        </w:rPr>
        <w:t xml:space="preserve"> </w:t>
      </w:r>
      <w:r>
        <w:rPr>
          <w:rFonts w:ascii="Arial"/>
          <w:b/>
          <w:i/>
        </w:rPr>
        <w:t>αποβλήτων</w:t>
      </w:r>
      <w:r>
        <w:rPr>
          <w:rFonts w:ascii="Arial"/>
          <w:b/>
          <w:i/>
        </w:rPr>
        <w:t xml:space="preserve"> </w:t>
      </w:r>
      <w:r>
        <w:t>(μπορεί να καλύπτει αστικά απόβλητα ή άλλες ροές αποβλήτων). Η Λετονία θέσπισε δύο συναφή καθεστώτα το 2024:</w:t>
      </w:r>
    </w:p>
    <w:p w14:paraId="351276F5" w14:textId="3090F02E" w:rsidR="007B1A84" w:rsidRDefault="002A0261" w:rsidP="003E0C33">
      <w:pPr>
        <w:pStyle w:val="P68B1DB1-a58"/>
        <w:numPr>
          <w:ilvl w:val="1"/>
          <w:numId w:val="25"/>
        </w:numPr>
        <w:tabs>
          <w:tab w:val="left" w:pos="1114"/>
        </w:tabs>
        <w:spacing w:after="120"/>
        <w:ind w:left="1114" w:hanging="368"/>
        <w:jc w:val="left"/>
        <w:rPr>
          <w:rFonts w:ascii="Symbol" w:hAnsi="Symbol"/>
        </w:rPr>
      </w:pPr>
      <w:r>
        <w:t xml:space="preserve">Επενδύσεις σε ικανότητες ανακύκλωσης για την </w:t>
      </w:r>
      <w:r w:rsidR="00A96ECB">
        <w:rPr>
          <w:lang w:val="el-GR"/>
        </w:rPr>
        <w:t>διαχείριση</w:t>
      </w:r>
      <w:r>
        <w:t xml:space="preserve"> </w:t>
      </w:r>
      <w:r w:rsidR="00A96ECB">
        <w:rPr>
          <w:lang w:val="el-GR"/>
        </w:rPr>
        <w:t xml:space="preserve">αποβλήτων </w:t>
      </w:r>
      <w:r>
        <w:t>τρίτων μερών</w:t>
      </w:r>
      <w:r w:rsidR="00A96ECB">
        <w:rPr>
          <w:rStyle w:val="FootnoteReference"/>
        </w:rPr>
        <w:footnoteReference w:id="42"/>
      </w:r>
      <w:r>
        <w:t>,</w:t>
      </w:r>
    </w:p>
    <w:p w14:paraId="206A6029" w14:textId="008804E4" w:rsidR="007B1A84" w:rsidRDefault="002A0261" w:rsidP="003E0C33">
      <w:pPr>
        <w:pStyle w:val="P68B1DB1-a58"/>
        <w:numPr>
          <w:ilvl w:val="1"/>
          <w:numId w:val="25"/>
        </w:numPr>
        <w:tabs>
          <w:tab w:val="left" w:pos="1114"/>
        </w:tabs>
        <w:spacing w:after="120"/>
        <w:ind w:left="1114" w:hanging="368"/>
        <w:jc w:val="left"/>
        <w:rPr>
          <w:rFonts w:ascii="Symbol" w:hAnsi="Symbol"/>
        </w:rPr>
      </w:pPr>
      <w:r>
        <w:t>Επενδύσεις σε χωριστές υποδομές</w:t>
      </w:r>
      <w:r w:rsidR="00A96ECB">
        <w:rPr>
          <w:lang w:val="el-GR"/>
        </w:rPr>
        <w:t xml:space="preserve"> </w:t>
      </w:r>
      <w:hyperlink w:anchor="_bookmark56" w:history="1">
        <w:r>
          <w:t>συλλογής</w:t>
        </w:r>
      </w:hyperlink>
      <w:r w:rsidR="00A96ECB">
        <w:rPr>
          <w:lang w:val="el-GR"/>
        </w:rPr>
        <w:t xml:space="preserve"> </w:t>
      </w:r>
      <w:r>
        <w:t>αποβλήτων.</w:t>
      </w:r>
      <w:r w:rsidR="00A96ECB">
        <w:rPr>
          <w:rStyle w:val="FootnoteReference"/>
        </w:rPr>
        <w:footnoteReference w:id="43"/>
      </w:r>
    </w:p>
    <w:p w14:paraId="5A79F9E5" w14:textId="189502C4" w:rsidR="007B1A84" w:rsidRDefault="002A0261" w:rsidP="003E0C33">
      <w:pPr>
        <w:pStyle w:val="P68B1DB1-a58"/>
        <w:numPr>
          <w:ilvl w:val="0"/>
          <w:numId w:val="25"/>
        </w:numPr>
        <w:tabs>
          <w:tab w:val="left" w:pos="391"/>
          <w:tab w:val="left" w:pos="393"/>
        </w:tabs>
        <w:spacing w:after="120"/>
        <w:ind w:right="412"/>
      </w:pPr>
      <w:r>
        <w:t>Σύμφωνα με τον ΓΚΑΚ, το άρθρο 47 παράγραφος 7 στοιχεία α) και γ) είναι το πρόσθετο επενδυτικό κόστος που καθορίζεται συγκρίνοντας το συνολικό επενδυτικό κόστος του έργου με το κόστος του αντιπαραδείγματος που προβλέπει την υλοποίηση λιγότερο περιβαλλοντικά ραγδαίων έργων ή δραστηριοτήτων που βασίζονται χωρίς κρατική ενίσχυση. Ένα αντίστροφο σενάριο μπορεί να συνίσταται στην επεξεργασία των αποβλήτων με βάση μια εργασία επεξεργασίας που βρίσκεται χαμηλότερη κατά τη σειρά προτεραιότητας της ιεράρχησης των αποβλήτων που αναφέρεται στην οδηγία για τα απόβλητα, στο άρθρο 4 παράγραφος 1 [βλέπε επίσης σημείο 4 της παρούσας σημείωσης] ή στην επεξεργασία των αποβλήτων, άλλων προϊόντων, υλικών ή ουσιών σε λιγότερο αποδοτική ως προς τους πόρους</w:t>
      </w:r>
      <w:hyperlink w:anchor="_bookmark57" w:history="1">
        <w:r>
          <w:rPr>
            <w:vertAlign w:val="superscript"/>
          </w:rPr>
          <w:t>4</w:t>
        </w:r>
        <w:r w:rsidR="003A4D3F">
          <w:rPr>
            <w:rStyle w:val="FootnoteReference"/>
          </w:rPr>
          <w:footnoteReference w:id="44"/>
        </w:r>
        <w:r>
          <w:rPr>
            <w:vertAlign w:val="superscript"/>
          </w:rPr>
          <w:t>4</w:t>
        </w:r>
      </w:hyperlink>
      <w:r>
        <w:t>. Το αντίστροφο σενάριο αντιστοιχεί σε επένδυση με συγκρίσιμη παραγωγική ικανότητα και lif etime που συμμορφώνεται με τα ήδη ισχύοντα πρότυπα της Ευρωπαϊκής Ένωσης.</w:t>
      </w:r>
    </w:p>
    <w:p w14:paraId="1474BE14" w14:textId="77777777" w:rsidR="007B1A84" w:rsidRDefault="002A0261" w:rsidP="003E0C33">
      <w:pPr>
        <w:pStyle w:val="P68B1DB1-a58"/>
        <w:numPr>
          <w:ilvl w:val="0"/>
          <w:numId w:val="25"/>
        </w:numPr>
        <w:tabs>
          <w:tab w:val="left" w:pos="391"/>
          <w:tab w:val="left" w:pos="393"/>
        </w:tabs>
        <w:spacing w:after="120"/>
        <w:ind w:right="407"/>
      </w:pPr>
      <w:r>
        <w:t>Σύμφωνα με τον ΓΚΑΚ, το άρθρο 47 παράγραφος 7, όταν η επένδυση συνίσταται στην εγκατάσταση πρόσθετης συνιστώσας σε ήδη υφιστάμενη εγκατάσταση, για την οποία δεν υπάρχει λιγότερο φιλικό προς το περιβάλλον ισοδύναμο, ή όταν ο αιτών κρατική ενίσχυση μπορεί να αποδείξει ότι δεν θα πραγματοποιηθεί καμία επένδυση χωρίς κρατική ενίσχυση, οι επιλέξιμες δαπάνες είναι οι συνολικές επενδυτικές δαπάνες.</w:t>
      </w:r>
    </w:p>
    <w:p w14:paraId="5DACD0B8" w14:textId="77777777" w:rsidR="007B1A84" w:rsidRDefault="002A0261" w:rsidP="003E0C33">
      <w:pPr>
        <w:pStyle w:val="P68B1DB1-a58"/>
        <w:numPr>
          <w:ilvl w:val="0"/>
          <w:numId w:val="25"/>
        </w:numPr>
        <w:tabs>
          <w:tab w:val="left" w:pos="391"/>
          <w:tab w:val="left" w:pos="393"/>
        </w:tabs>
        <w:spacing w:after="120"/>
        <w:ind w:right="426"/>
      </w:pPr>
      <w:r>
        <w:t>Το άρθρο 47 παράγραφος 7 του ΓΚΑΚ προβλέπει τη δυνατότητα να αποδειχθεί ότι καμία επένδυση δεν θα πραγματοποιηθεί χωρίς κρατική ενίσχυση. Μπορούν να αναφερθούν τα ακόλουθα παραδείγματα ανεπαρκειών της αγοράς:</w:t>
      </w:r>
    </w:p>
    <w:p w14:paraId="3ED98C9A" w14:textId="79F40F51" w:rsidR="007B1A84" w:rsidRDefault="002A0261" w:rsidP="003E0C33">
      <w:pPr>
        <w:pStyle w:val="P68B1DB1-a58"/>
        <w:numPr>
          <w:ilvl w:val="1"/>
          <w:numId w:val="25"/>
        </w:numPr>
        <w:tabs>
          <w:tab w:val="left" w:pos="1114"/>
        </w:tabs>
        <w:spacing w:after="120"/>
        <w:ind w:left="1114" w:right="425" w:hanging="369"/>
        <w:rPr>
          <w:rFonts w:ascii="Symbol" w:hAnsi="Symbol"/>
        </w:rPr>
      </w:pPr>
      <w:r>
        <w:t xml:space="preserve">Έλλειψη επαρκών </w:t>
      </w:r>
      <w:r w:rsidR="005E3B7D">
        <w:rPr>
          <w:lang w:val="el-GR"/>
        </w:rPr>
        <w:t>ποσοτήτων</w:t>
      </w:r>
      <w:r>
        <w:t xml:space="preserve"> τοπικά παραγόμενων χωριστά συλλεγόμενων αποβλήτων για ανακύκλωση. Η ΕΕ έχει θέσει στόχους, αλλά οι συνήθειες των </w:t>
      </w:r>
      <w:r>
        <w:lastRenderedPageBreak/>
        <w:t xml:space="preserve">νοικοκυριών και των επιχειρήσεων καθορίζουν κατά πόσον υπάρχουν επαρκείς </w:t>
      </w:r>
      <w:r w:rsidR="005E3B7D">
        <w:rPr>
          <w:lang w:val="el-GR"/>
        </w:rPr>
        <w:t>ποσότητες</w:t>
      </w:r>
      <w:r>
        <w:t xml:space="preserve"> αποβλήτων και κατά πόσον μπορεί να προβλεφθεί ότι τα απόβλητα πράγματι θα διαχωριστούν μετά την </w:t>
      </w:r>
      <w:r w:rsidR="00123557">
        <w:rPr>
          <w:lang w:val="el-GR"/>
        </w:rPr>
        <w:t>ολοκλήρωση</w:t>
      </w:r>
      <w:r>
        <w:t xml:space="preserve"> του επενδυτικού σχεδίου.</w:t>
      </w:r>
    </w:p>
    <w:p w14:paraId="3AF3D03B" w14:textId="3BCC97C0" w:rsidR="007B1A84" w:rsidRDefault="002A0261" w:rsidP="003E0C33">
      <w:pPr>
        <w:pStyle w:val="P68B1DB1-a58"/>
        <w:numPr>
          <w:ilvl w:val="1"/>
          <w:numId w:val="25"/>
        </w:numPr>
        <w:tabs>
          <w:tab w:val="left" w:pos="1114"/>
        </w:tabs>
        <w:spacing w:after="120"/>
        <w:ind w:left="1114" w:hanging="368"/>
        <w:rPr>
          <w:rFonts w:ascii="Symbol" w:hAnsi="Symbol"/>
        </w:rPr>
      </w:pPr>
      <w:r>
        <w:t xml:space="preserve">Συνεχής </w:t>
      </w:r>
      <w:r w:rsidR="005E3B7D">
        <w:rPr>
          <w:lang w:val="el-GR"/>
        </w:rPr>
        <w:t>διακύμανση</w:t>
      </w:r>
      <w:r>
        <w:t xml:space="preserve"> των τιμών </w:t>
      </w:r>
      <w:r w:rsidR="005E3B7D">
        <w:rPr>
          <w:lang w:val="el-GR"/>
        </w:rPr>
        <w:t>των</w:t>
      </w:r>
      <w:r>
        <w:t xml:space="preserve"> δευτερογεν</w:t>
      </w:r>
      <w:r w:rsidR="005E3B7D">
        <w:rPr>
          <w:lang w:val="el-GR"/>
        </w:rPr>
        <w:t>ών πρώτων</w:t>
      </w:r>
      <w:r>
        <w:t xml:space="preserve"> </w:t>
      </w:r>
      <w:r w:rsidR="005E3B7D">
        <w:rPr>
          <w:lang w:val="el-GR"/>
        </w:rPr>
        <w:t>υλών</w:t>
      </w:r>
      <w:r w:rsidR="005E3B7D">
        <w:rPr>
          <w:rStyle w:val="FootnoteReference"/>
        </w:rPr>
        <w:footnoteReference w:id="45"/>
      </w:r>
      <w:r>
        <w:t>.</w:t>
      </w:r>
    </w:p>
    <w:p w14:paraId="36882A92" w14:textId="77777777" w:rsidR="007B1A84" w:rsidRDefault="002A0261" w:rsidP="003E0C33">
      <w:pPr>
        <w:pStyle w:val="P68B1DB1-a58"/>
        <w:numPr>
          <w:ilvl w:val="0"/>
          <w:numId w:val="25"/>
        </w:numPr>
        <w:tabs>
          <w:tab w:val="left" w:pos="391"/>
          <w:tab w:val="left" w:pos="393"/>
        </w:tabs>
        <w:spacing w:after="120"/>
        <w:ind w:right="406"/>
      </w:pPr>
      <w:r>
        <w:t>Κατά συνέπεια, για τον καθορισμό του πεδίου εφαρμογής (επιλέξιμες κατηγορίες αποβλήτων) του ΓΚΑΚ, άρθρο 47, απαιτείται αξιολόγηση της αγοράς (σημειώνεται, για παράδειγμα, ότι ενδέχεται να υπάρχουν ελλείψεις στην αγορά παγκοσμίως για την ανακύκλωση ελαστικών)</w:t>
      </w:r>
    </w:p>
    <w:p w14:paraId="20D5F34A" w14:textId="752E5506" w:rsidR="007B1A84" w:rsidRDefault="002A0261" w:rsidP="003E0C33">
      <w:pPr>
        <w:pStyle w:val="P68B1DB1-a58"/>
        <w:numPr>
          <w:ilvl w:val="0"/>
          <w:numId w:val="25"/>
        </w:numPr>
        <w:tabs>
          <w:tab w:val="left" w:pos="392"/>
        </w:tabs>
        <w:spacing w:after="120"/>
        <w:ind w:left="392" w:hanging="367"/>
      </w:pPr>
      <w:r>
        <w:t xml:space="preserve">Ο καθορισμός της ισχύουσας έντασης κρατικής ενίσχυσης </w:t>
      </w:r>
      <w:r w:rsidR="00495B96">
        <w:rPr>
          <w:lang w:val="el-GR"/>
        </w:rPr>
        <w:t>παρουσιάζεται</w:t>
      </w:r>
      <w:r>
        <w:t xml:space="preserve"> στον πίνακα 8.</w:t>
      </w:r>
    </w:p>
    <w:p w14:paraId="07344488" w14:textId="77777777" w:rsidR="007B1A84" w:rsidRDefault="007B1A84" w:rsidP="003E0C33">
      <w:pPr>
        <w:pStyle w:val="BodyText"/>
        <w:spacing w:after="120"/>
      </w:pPr>
    </w:p>
    <w:p w14:paraId="7B35DA0A" w14:textId="77777777" w:rsidR="007B1A84" w:rsidRDefault="002A0261" w:rsidP="003E0C33">
      <w:pPr>
        <w:pStyle w:val="P68B1DB1-a12"/>
        <w:spacing w:after="120"/>
        <w:ind w:left="25"/>
      </w:pPr>
      <w:r>
        <w:t>Πίνακας</w:t>
      </w:r>
      <w:r>
        <w:t xml:space="preserve"> 8: </w:t>
      </w:r>
      <w:r>
        <w:t>Εφαρμοστέα</w:t>
      </w:r>
      <w:r>
        <w:t xml:space="preserve"> </w:t>
      </w:r>
      <w:r>
        <w:t>ένταση</w:t>
      </w:r>
      <w:r>
        <w:t xml:space="preserve"> </w:t>
      </w:r>
      <w:r>
        <w:t>κρατικής</w:t>
      </w:r>
      <w:r>
        <w:t xml:space="preserve"> </w:t>
      </w:r>
      <w:r>
        <w:t>ενίσχυσης</w:t>
      </w:r>
    </w:p>
    <w:tbl>
      <w:tblPr>
        <w:tblStyle w:val="TableNormal1"/>
        <w:tblW w:w="0" w:type="auto"/>
        <w:tblInd w:w="28" w:type="dxa"/>
        <w:tblBorders>
          <w:top w:val="single" w:sz="8" w:space="0" w:color="B6DDE8"/>
          <w:left w:val="single" w:sz="8" w:space="0" w:color="B6DDE8"/>
          <w:bottom w:val="single" w:sz="8" w:space="0" w:color="B6DDE8"/>
          <w:right w:val="single" w:sz="8" w:space="0" w:color="B6DDE8"/>
          <w:insideH w:val="single" w:sz="8" w:space="0" w:color="B6DDE8"/>
          <w:insideV w:val="single" w:sz="8" w:space="0" w:color="B6DDE8"/>
        </w:tblBorders>
        <w:tblLayout w:type="fixed"/>
        <w:tblLook w:val="01E0" w:firstRow="1" w:lastRow="1" w:firstColumn="1" w:lastColumn="1" w:noHBand="0" w:noVBand="0"/>
      </w:tblPr>
      <w:tblGrid>
        <w:gridCol w:w="1795"/>
        <w:gridCol w:w="1827"/>
        <w:gridCol w:w="1827"/>
        <w:gridCol w:w="1795"/>
        <w:gridCol w:w="1811"/>
      </w:tblGrid>
      <w:tr w:rsidR="007B1A84" w14:paraId="1EC3583F" w14:textId="77777777">
        <w:trPr>
          <w:trHeight w:val="524"/>
        </w:trPr>
        <w:tc>
          <w:tcPr>
            <w:tcW w:w="1795" w:type="dxa"/>
            <w:tcBorders>
              <w:bottom w:val="single" w:sz="8" w:space="0" w:color="92CDDC"/>
            </w:tcBorders>
            <w:shd w:val="clear" w:color="auto" w:fill="F9BE8F"/>
          </w:tcPr>
          <w:p w14:paraId="37F8D95B" w14:textId="77777777" w:rsidR="007B1A84" w:rsidRDefault="002A0261" w:rsidP="003E0C33">
            <w:pPr>
              <w:pStyle w:val="P68B1DB1-TableParagraph15"/>
              <w:spacing w:after="120"/>
              <w:ind w:left="118"/>
            </w:pPr>
            <w:r>
              <w:t>Βασικός</w:t>
            </w:r>
            <w:r>
              <w:t xml:space="preserve"> </w:t>
            </w:r>
            <w:r>
              <w:t>συντελεστής</w:t>
            </w:r>
          </w:p>
        </w:tc>
        <w:tc>
          <w:tcPr>
            <w:tcW w:w="1827" w:type="dxa"/>
            <w:tcBorders>
              <w:bottom w:val="single" w:sz="8" w:space="0" w:color="92CDDC"/>
            </w:tcBorders>
            <w:shd w:val="clear" w:color="auto" w:fill="F9BE8F"/>
          </w:tcPr>
          <w:p w14:paraId="60B75651" w14:textId="77777777" w:rsidR="007B1A84" w:rsidRDefault="002A0261" w:rsidP="003E0C33">
            <w:pPr>
              <w:pStyle w:val="P68B1DB1-TableParagraph15"/>
              <w:spacing w:after="120"/>
              <w:ind w:left="101"/>
            </w:pPr>
            <w:r>
              <w:t>Μικρή</w:t>
            </w:r>
            <w:r>
              <w:t xml:space="preserve"> </w:t>
            </w:r>
            <w:r>
              <w:t>επιχείρηση</w:t>
            </w:r>
          </w:p>
        </w:tc>
        <w:tc>
          <w:tcPr>
            <w:tcW w:w="1827" w:type="dxa"/>
            <w:tcBorders>
              <w:bottom w:val="single" w:sz="8" w:space="0" w:color="92CDDC"/>
            </w:tcBorders>
            <w:shd w:val="clear" w:color="auto" w:fill="F9BE8F"/>
          </w:tcPr>
          <w:p w14:paraId="74774E98" w14:textId="77777777" w:rsidR="007B1A84" w:rsidRDefault="002A0261" w:rsidP="003E0C33">
            <w:pPr>
              <w:pStyle w:val="P68B1DB1-TableParagraph15"/>
              <w:spacing w:after="120"/>
              <w:ind w:left="101"/>
            </w:pPr>
            <w:r>
              <w:t>Μεσαία</w:t>
            </w:r>
            <w:r>
              <w:t xml:space="preserve"> </w:t>
            </w:r>
            <w:r>
              <w:t>επιχείρηση</w:t>
            </w:r>
          </w:p>
        </w:tc>
        <w:tc>
          <w:tcPr>
            <w:tcW w:w="1795" w:type="dxa"/>
            <w:tcBorders>
              <w:bottom w:val="single" w:sz="8" w:space="0" w:color="92CDDC"/>
            </w:tcBorders>
            <w:shd w:val="clear" w:color="auto" w:fill="F9BE8F"/>
          </w:tcPr>
          <w:p w14:paraId="200F1003" w14:textId="77777777" w:rsidR="007B1A84" w:rsidRDefault="002A0261" w:rsidP="003E0C33">
            <w:pPr>
              <w:pStyle w:val="P68B1DB1-TableParagraph15"/>
              <w:spacing w:after="120"/>
              <w:ind w:left="100" w:right="325"/>
            </w:pPr>
            <w:r>
              <w:t>Περιφέρεια</w:t>
            </w:r>
            <w:r>
              <w:t xml:space="preserve"> </w:t>
            </w:r>
            <w:r>
              <w:t>του</w:t>
            </w:r>
            <w:r>
              <w:t xml:space="preserve"> </w:t>
            </w:r>
            <w:r>
              <w:t>άρθρου</w:t>
            </w:r>
            <w:r>
              <w:t xml:space="preserve"> 107 </w:t>
            </w:r>
            <w:r>
              <w:t>παράγραφος</w:t>
            </w:r>
            <w:r>
              <w:t xml:space="preserve"> 3 </w:t>
            </w:r>
            <w:r>
              <w:t>στοιχείο</w:t>
            </w:r>
            <w:r>
              <w:t xml:space="preserve"> </w:t>
            </w:r>
            <w:r>
              <w:t>α</w:t>
            </w:r>
            <w:r>
              <w:t>)</w:t>
            </w:r>
          </w:p>
        </w:tc>
        <w:tc>
          <w:tcPr>
            <w:tcW w:w="1811" w:type="dxa"/>
            <w:tcBorders>
              <w:bottom w:val="single" w:sz="8" w:space="0" w:color="92CDDC"/>
            </w:tcBorders>
            <w:shd w:val="clear" w:color="auto" w:fill="F9BE8F"/>
          </w:tcPr>
          <w:p w14:paraId="7CE6010D" w14:textId="77777777" w:rsidR="007B1A84" w:rsidRDefault="002A0261" w:rsidP="003E0C33">
            <w:pPr>
              <w:pStyle w:val="P68B1DB1-TableParagraph15"/>
              <w:spacing w:after="120"/>
              <w:ind w:left="115" w:right="326"/>
            </w:pPr>
            <w:r>
              <w:t>Περιφέρεια</w:t>
            </w:r>
            <w:r>
              <w:t xml:space="preserve"> </w:t>
            </w:r>
            <w:r>
              <w:t>του</w:t>
            </w:r>
            <w:r>
              <w:t xml:space="preserve"> </w:t>
            </w:r>
            <w:r>
              <w:t>άρθρου</w:t>
            </w:r>
            <w:r>
              <w:t xml:space="preserve"> 107 </w:t>
            </w:r>
            <w:r>
              <w:t>παράγραφος</w:t>
            </w:r>
            <w:r>
              <w:t xml:space="preserve"> 3 </w:t>
            </w:r>
            <w:r>
              <w:t>στοιχείο</w:t>
            </w:r>
            <w:r>
              <w:t xml:space="preserve"> </w:t>
            </w:r>
            <w:r>
              <w:t>γ</w:t>
            </w:r>
            <w:r>
              <w:t>)</w:t>
            </w:r>
          </w:p>
        </w:tc>
      </w:tr>
      <w:tr w:rsidR="007B1A84" w14:paraId="2EC33D59" w14:textId="77777777">
        <w:trPr>
          <w:trHeight w:val="332"/>
        </w:trPr>
        <w:tc>
          <w:tcPr>
            <w:tcW w:w="1795" w:type="dxa"/>
            <w:tcBorders>
              <w:top w:val="single" w:sz="8" w:space="0" w:color="92CDDC"/>
            </w:tcBorders>
          </w:tcPr>
          <w:p w14:paraId="471D1A90" w14:textId="77777777" w:rsidR="007B1A84" w:rsidRDefault="002A0261" w:rsidP="003E0C33">
            <w:pPr>
              <w:pStyle w:val="P68B1DB1-TableParagraph13"/>
              <w:spacing w:after="120"/>
              <w:ind w:left="118"/>
            </w:pPr>
            <w:r>
              <w:t>40 %</w:t>
            </w:r>
          </w:p>
        </w:tc>
        <w:tc>
          <w:tcPr>
            <w:tcW w:w="1827" w:type="dxa"/>
            <w:tcBorders>
              <w:top w:val="single" w:sz="8" w:space="0" w:color="92CDDC"/>
            </w:tcBorders>
          </w:tcPr>
          <w:p w14:paraId="4290F090" w14:textId="77777777" w:rsidR="007B1A84" w:rsidRDefault="002A0261" w:rsidP="003E0C33">
            <w:pPr>
              <w:pStyle w:val="P68B1DB1-TableParagraph13"/>
              <w:spacing w:after="120"/>
              <w:ind w:left="101"/>
            </w:pPr>
            <w:r>
              <w:t>+ 20 %</w:t>
            </w:r>
          </w:p>
        </w:tc>
        <w:tc>
          <w:tcPr>
            <w:tcW w:w="1827" w:type="dxa"/>
            <w:tcBorders>
              <w:top w:val="single" w:sz="8" w:space="0" w:color="92CDDC"/>
            </w:tcBorders>
          </w:tcPr>
          <w:p w14:paraId="4D698D84" w14:textId="77777777" w:rsidR="007B1A84" w:rsidRDefault="002A0261" w:rsidP="003E0C33">
            <w:pPr>
              <w:pStyle w:val="P68B1DB1-TableParagraph13"/>
              <w:spacing w:after="120"/>
              <w:ind w:left="101"/>
            </w:pPr>
            <w:r>
              <w:t>+ 10 %</w:t>
            </w:r>
          </w:p>
        </w:tc>
        <w:tc>
          <w:tcPr>
            <w:tcW w:w="1795" w:type="dxa"/>
            <w:tcBorders>
              <w:top w:val="single" w:sz="8" w:space="0" w:color="92CDDC"/>
            </w:tcBorders>
          </w:tcPr>
          <w:p w14:paraId="6566EC8C" w14:textId="77777777" w:rsidR="007B1A84" w:rsidRDefault="002A0261" w:rsidP="003E0C33">
            <w:pPr>
              <w:pStyle w:val="P68B1DB1-TableParagraph13"/>
              <w:spacing w:after="120"/>
              <w:ind w:left="100"/>
            </w:pPr>
            <w:r>
              <w:t>+ 15 %</w:t>
            </w:r>
          </w:p>
        </w:tc>
        <w:tc>
          <w:tcPr>
            <w:tcW w:w="1811" w:type="dxa"/>
            <w:tcBorders>
              <w:top w:val="single" w:sz="8" w:space="0" w:color="92CDDC"/>
            </w:tcBorders>
          </w:tcPr>
          <w:p w14:paraId="388DB0C5" w14:textId="77777777" w:rsidR="007B1A84" w:rsidRDefault="002A0261" w:rsidP="003E0C33">
            <w:pPr>
              <w:pStyle w:val="P68B1DB1-TableParagraph13"/>
              <w:spacing w:after="120"/>
              <w:ind w:left="115"/>
            </w:pPr>
            <w:r>
              <w:t>+ 5 %</w:t>
            </w:r>
          </w:p>
        </w:tc>
      </w:tr>
    </w:tbl>
    <w:p w14:paraId="351BFDE2" w14:textId="77777777" w:rsidR="007B1A84" w:rsidRDefault="007B1A84" w:rsidP="003E0C33">
      <w:pPr>
        <w:pStyle w:val="BodyText"/>
        <w:spacing w:after="120"/>
        <w:rPr>
          <w:rFonts w:ascii="Arial"/>
          <w:b/>
          <w:sz w:val="17"/>
        </w:rPr>
      </w:pPr>
    </w:p>
    <w:p w14:paraId="0DE787C5" w14:textId="76480B76" w:rsidR="007B1A84" w:rsidRDefault="002A0261" w:rsidP="003E0C33">
      <w:pPr>
        <w:pStyle w:val="P68B1DB1-a58"/>
        <w:numPr>
          <w:ilvl w:val="0"/>
          <w:numId w:val="25"/>
        </w:numPr>
        <w:tabs>
          <w:tab w:val="left" w:pos="391"/>
          <w:tab w:val="left" w:pos="393"/>
        </w:tabs>
        <w:spacing w:after="120"/>
        <w:ind w:right="424"/>
      </w:pPr>
      <w:r>
        <w:t xml:space="preserve">Σύμφωνα με τον ΓΚΑΚ, άρθρο 4 στοιχείο ιθ), ο ΓΚΑΚ δεν μπορεί να εφαρμοστεί </w:t>
      </w:r>
      <w:r w:rsidR="007A7C25">
        <w:rPr>
          <w:lang w:val="el-GR"/>
        </w:rPr>
        <w:t xml:space="preserve">σε </w:t>
      </w:r>
      <w:r>
        <w:t xml:space="preserve">επενδυτική κρατική ενίσχυση για την προστασία του περιβάλλοντος όταν η κρατική ενίσχυση υπερβαίνει τα 30 εκατ. ευρώ ανά επιχείρηση και ανά επενδυτικό σχέδιο. Κατά την υπέρβαση του προαναφερθέντος ορίου, για τη χορήγηση κρατικών ενισχύσεων μπορούν να χρησιμοποιούνται οι ΚΓΚΕΠΕ, τμήμα 4.4 (Κρατικές ενισχύσεις για την αποδοτική χρήση των πόρων και για τη στήριξη της μετάβασης προς μια κυκλική οικονομία). Ωστόσο, σύμφωνα με τις </w:t>
      </w:r>
      <w:r w:rsidR="007A7C25">
        <w:t>ΚΓΚΕΠΕ</w:t>
      </w:r>
      <w:r>
        <w:t>, δεν επιτρέπεται η χορήγηση κρατικής ενίσχυσης για τη στήριξη του κόστους μιας δραστηριότητας που θα πραγματοποιούσε ούτως ή άλλως ο δικαιούχος της κρατικής ενίσχυσης και δεν πρέπει να αντισταθμίζει τον συνήθη επιχειρηματικό κίνδυνο μιας οικονομικής δραστηριότητας, καθώς και για την κάλυψη των δαπανών για την εξάλειψη της ρύπανσης για την οποία ευθύνεται η επιχείρηση (αρχή «ο ρυπαίνων πληρώνει»).</w:t>
      </w:r>
    </w:p>
    <w:p w14:paraId="4EE7DBD5" w14:textId="77777777" w:rsidR="007B1A84" w:rsidRDefault="007B1A84" w:rsidP="003E0C33">
      <w:pPr>
        <w:pStyle w:val="BodyText"/>
        <w:spacing w:after="120"/>
      </w:pPr>
    </w:p>
    <w:p w14:paraId="2FE9642E" w14:textId="77777777" w:rsidR="007B1A84" w:rsidRDefault="002A0261" w:rsidP="003E0C33">
      <w:pPr>
        <w:pStyle w:val="Heading4"/>
        <w:numPr>
          <w:ilvl w:val="1"/>
          <w:numId w:val="40"/>
        </w:numPr>
        <w:tabs>
          <w:tab w:val="left" w:pos="601"/>
        </w:tabs>
        <w:spacing w:after="120"/>
        <w:ind w:right="407"/>
      </w:pPr>
      <w:bookmarkStart w:id="23" w:name="_bookmark58"/>
      <w:bookmarkEnd w:id="23"/>
      <w:r>
        <w:t>Εκτιμήσεις που συνδέονται με την εφαρμογή κρατικών ενισχύσεων για τοπικές υποδομές (άρθρο 56 του ΓΚΑΚ)</w:t>
      </w:r>
    </w:p>
    <w:p w14:paraId="27B4FE79" w14:textId="77777777" w:rsidR="007B1A84" w:rsidRDefault="002A0261" w:rsidP="003E0C33">
      <w:pPr>
        <w:pStyle w:val="P68B1DB1-a58"/>
        <w:numPr>
          <w:ilvl w:val="0"/>
          <w:numId w:val="25"/>
        </w:numPr>
        <w:tabs>
          <w:tab w:val="left" w:pos="391"/>
          <w:tab w:val="left" w:pos="393"/>
        </w:tabs>
        <w:spacing w:after="120"/>
        <w:ind w:right="414"/>
      </w:pPr>
      <w:r>
        <w:t>Αφορά υποδομές που συμβάλλουν σε τοπικό επίπεδο στη βελτίωση του επιχειρηματικού και καταναλωτικού περιβάλλοντος και στον εκσυγχρονισμό και την ανάπτυξη της βιομηχανικής βάσης. Οι αιτούντες κρατική ενίσχυση και οι άμεσοι δικαιούχοι μπορούν να είναι μόνο δήμοι/δημοτικοί φορείς.</w:t>
      </w:r>
    </w:p>
    <w:p w14:paraId="65931F8D" w14:textId="73E965E4" w:rsidR="007B1A84" w:rsidRDefault="002A0261" w:rsidP="003E0C33">
      <w:pPr>
        <w:pStyle w:val="P68B1DB1-a58"/>
        <w:numPr>
          <w:ilvl w:val="0"/>
          <w:numId w:val="25"/>
        </w:numPr>
        <w:tabs>
          <w:tab w:val="left" w:pos="391"/>
          <w:tab w:val="left" w:pos="393"/>
        </w:tabs>
        <w:spacing w:after="120"/>
        <w:ind w:right="414"/>
      </w:pPr>
      <w:r>
        <w:t xml:space="preserve">Εφαρμόζεται μόνο σε περιπτώσεις στις οποίες δεν προβλέπονται επενδύσεις στην ειδική υποδομή. Ειδική υποδομή ορίζεται ως η υποδομή που κατασκευάζεται για </w:t>
      </w:r>
      <w:r>
        <w:rPr>
          <w:rFonts w:ascii="Arial" w:hAnsi="Arial"/>
          <w:i/>
        </w:rPr>
        <w:t xml:space="preserve">εκ των προτέρων </w:t>
      </w:r>
      <w:r>
        <w:t>αναγνωρίσιμες επιχειρήσεις και είναι προσαρμοσμένες στις ανάγκες τους. Αυτό σημαίνει ότι ο ΓΚΑΚ, το άρθρο 56 δεν μπορεί να εφαρμοστεί σε κρατικές ενισχύσεις για επενδύσεις που απευθύνονται σε εκ των προτέρων προσδιορίσιμους δικαιούχους.</w:t>
      </w:r>
    </w:p>
    <w:p w14:paraId="582E5BE2" w14:textId="77777777" w:rsidR="007B1A84" w:rsidRDefault="002A0261" w:rsidP="003E0C33">
      <w:pPr>
        <w:pStyle w:val="P68B1DB1-a58"/>
        <w:numPr>
          <w:ilvl w:val="0"/>
          <w:numId w:val="25"/>
        </w:numPr>
        <w:tabs>
          <w:tab w:val="left" w:pos="391"/>
          <w:tab w:val="left" w:pos="393"/>
        </w:tabs>
        <w:spacing w:after="120"/>
        <w:ind w:right="418"/>
      </w:pPr>
      <w:r>
        <w:t>Η υποδομή/εξοπλισμός που καλύπτεται από το επενδυτικό σχέδιο δεν μπορεί να είναι τόσο συγκεκριμένη ώστε να ανταποκρίνεται μόνο στις ανάγκες μιας συγκεκριμένης επιχείρησης. Η υποδομή/εξοπλισμός που κατασκευάζεται πρέπει γενικά να μπορεί να χρησιμοποιηθεί από κάθε επιχείρηση που δραστηριοποιείται στον σχετικό τομέα, λαμβανομένου υπόψη του προβλεπόμενου λειτουργικού σκοπού της υποδομής/εξοπλισμού.</w:t>
      </w:r>
    </w:p>
    <w:p w14:paraId="0587CA04" w14:textId="77777777" w:rsidR="007B1A84" w:rsidRDefault="007B1A84" w:rsidP="003E0C33">
      <w:pPr>
        <w:pStyle w:val="BodyText"/>
        <w:spacing w:after="120"/>
        <w:rPr>
          <w:sz w:val="20"/>
        </w:rPr>
      </w:pPr>
    </w:p>
    <w:p w14:paraId="3356D548" w14:textId="59B040CD" w:rsidR="007B1A84" w:rsidRDefault="002A0261" w:rsidP="003E0C33">
      <w:pPr>
        <w:pStyle w:val="P68B1DB1-a58"/>
        <w:numPr>
          <w:ilvl w:val="0"/>
          <w:numId w:val="25"/>
        </w:numPr>
        <w:tabs>
          <w:tab w:val="left" w:pos="391"/>
          <w:tab w:val="left" w:pos="393"/>
        </w:tabs>
        <w:spacing w:after="120"/>
        <w:ind w:right="424"/>
      </w:pPr>
      <w:r>
        <w:lastRenderedPageBreak/>
        <w:t>Με βάση τον ΓΚΑΚ, άρθρο 6 παράγραφος 2</w:t>
      </w:r>
      <w:r w:rsidR="00ED02D8">
        <w:rPr>
          <w:lang w:val="el-GR"/>
        </w:rPr>
        <w:t>,</w:t>
      </w:r>
      <w:r>
        <w:t xml:space="preserve"> δεν μπορεί να χορηγηθεί</w:t>
      </w:r>
      <w:r w:rsidR="00ED02D8" w:rsidRPr="00ED02D8">
        <w:t xml:space="preserve"> </w:t>
      </w:r>
      <w:r w:rsidR="00ED02D8">
        <w:t>κρατική ενίσχυση σύμφωνα με το άρθρο 56</w:t>
      </w:r>
      <w:r w:rsidR="00ED02D8">
        <w:rPr>
          <w:lang w:val="el-GR"/>
        </w:rPr>
        <w:t xml:space="preserve"> του</w:t>
      </w:r>
      <w:r w:rsidR="00ED02D8">
        <w:t xml:space="preserve"> ΓΚΑΚ, </w:t>
      </w:r>
      <w:r>
        <w:t xml:space="preserve">εάν η κρατική ενίσχυση προορίζεται για επενδύσεις σε υποδομές που καλύπτονται από άλλα τμήματα του κεφαλαίου ΙΙΙ του ΓΚΑΚ, εκτός από τις περιφερειακές κρατικές ενισχύσεις. Η Ευρωπαϊκή Επιτροπή ερμήνευσε το πεδίο εφαρμογής της διάταξης αυτής κατόπιν ερωτημάτων που τέθηκαν από διάφορα </w:t>
      </w:r>
      <w:r w:rsidR="00FC483C">
        <w:rPr>
          <w:lang w:val="el-GR"/>
        </w:rPr>
        <w:t>κράτη μέλη</w:t>
      </w:r>
      <w:r>
        <w:t xml:space="preserve"> </w:t>
      </w:r>
      <w:r>
        <w:rPr>
          <w:vertAlign w:val="superscript"/>
        </w:rPr>
        <w:t>6</w:t>
      </w:r>
      <w:r w:rsidR="00FC483C">
        <w:rPr>
          <w:rStyle w:val="FootnoteReference"/>
        </w:rPr>
        <w:footnoteReference w:id="46"/>
      </w:r>
      <w:r>
        <w:t>.</w:t>
      </w:r>
    </w:p>
    <w:p w14:paraId="25410C1E" w14:textId="77777777" w:rsidR="007B1A84" w:rsidRDefault="002A0261" w:rsidP="003E0C33">
      <w:pPr>
        <w:pStyle w:val="P68B1DB1-a58"/>
        <w:numPr>
          <w:ilvl w:val="0"/>
          <w:numId w:val="25"/>
        </w:numPr>
        <w:tabs>
          <w:tab w:val="left" w:pos="391"/>
          <w:tab w:val="left" w:pos="393"/>
        </w:tabs>
        <w:spacing w:after="120"/>
        <w:ind w:right="448"/>
      </w:pPr>
      <w:r>
        <w:t>Όταν εφαρμόζεται ο ΓΚΑΚ, οι επιλέξιμες δαπάνες είναι οι επενδυτικές δαπάνες σε υλικά και άυλα στοιχεία ενεργητικού.</w:t>
      </w:r>
    </w:p>
    <w:p w14:paraId="4B7A9006" w14:textId="59B2EDA9" w:rsidR="007B1A84" w:rsidRDefault="002A0261" w:rsidP="003E0C33">
      <w:pPr>
        <w:pStyle w:val="P68B1DB1-a58"/>
        <w:numPr>
          <w:ilvl w:val="0"/>
          <w:numId w:val="25"/>
        </w:numPr>
        <w:tabs>
          <w:tab w:val="left" w:pos="391"/>
          <w:tab w:val="left" w:pos="393"/>
        </w:tabs>
        <w:spacing w:after="120"/>
        <w:ind w:right="408"/>
      </w:pPr>
      <w:r>
        <w:t>Σύμφωνα με τον ΓΚΑΚ, άρθρο 56 παράγραφος 4</w:t>
      </w:r>
      <w:r w:rsidR="00FC483C">
        <w:rPr>
          <w:lang w:val="el-GR"/>
        </w:rPr>
        <w:t>,</w:t>
      </w:r>
      <w:r>
        <w:t xml:space="preserve"> κάθε παραχώρηση ή άλλη ανάθεση σε τρίτο μέρος για τη λειτουργία της υποδομής ανατίθεται βάσει ανοικτής, διαφανούς και αμερόληπτης βάσης σύμφωνα με τους ισχύοντες κανόνες για τις δημόσιες συμβάσεις.</w:t>
      </w:r>
    </w:p>
    <w:p w14:paraId="37F407B4" w14:textId="16B8312D" w:rsidR="007B1A84" w:rsidRDefault="002A0261" w:rsidP="003E0C33">
      <w:pPr>
        <w:pStyle w:val="P68B1DB1-a58"/>
        <w:numPr>
          <w:ilvl w:val="0"/>
          <w:numId w:val="25"/>
        </w:numPr>
        <w:tabs>
          <w:tab w:val="left" w:pos="391"/>
          <w:tab w:val="left" w:pos="393"/>
        </w:tabs>
        <w:spacing w:after="120"/>
        <w:ind w:right="421"/>
      </w:pPr>
      <w:r>
        <w:t>Σύμφωνα με τον ΓΚΑΚ, άρθρο 56 παράγραφος 3, η υποδομή τίθεται στη διάθεση των ενδιαφερόμενων χρηστών σε ανοικτή, διαφανή και αμερόληπτη βάση και η τιμή που χρεώνεται για τη χρήση της υποδομής αντιστοιχεί στην τιμή της αγοράς.</w:t>
      </w:r>
    </w:p>
    <w:p w14:paraId="27D84FD8" w14:textId="4C670CF1" w:rsidR="007B1A84" w:rsidRDefault="002A0261" w:rsidP="003E0C33">
      <w:pPr>
        <w:pStyle w:val="P68B1DB1-a58"/>
        <w:numPr>
          <w:ilvl w:val="0"/>
          <w:numId w:val="25"/>
        </w:numPr>
        <w:tabs>
          <w:tab w:val="left" w:pos="391"/>
          <w:tab w:val="left" w:pos="393"/>
        </w:tabs>
        <w:spacing w:after="120"/>
        <w:ind w:right="415"/>
      </w:pPr>
      <w:r>
        <w:t>Για την εφαρμογή του ΓΚΑΚ, άρθρο 56 παράγραφος 4</w:t>
      </w:r>
      <w:r w:rsidR="00FC483C">
        <w:rPr>
          <w:lang w:val="el-GR"/>
        </w:rPr>
        <w:t>,</w:t>
      </w:r>
      <w:r>
        <w:t xml:space="preserve"> επιτρέπ</w:t>
      </w:r>
      <w:r w:rsidR="00FC483C">
        <w:rPr>
          <w:lang w:val="el-GR"/>
        </w:rPr>
        <w:t>εται</w:t>
      </w:r>
      <w:r>
        <w:t xml:space="preserve"> άμεση μεταβίβαση της υποδομής στην επιχείρηση που ανήκει στον δήμο (εσωτερική) όταν η εν λόγω επιχείρηση ανήκει κατά 100 % στον δήμο </w:t>
      </w:r>
      <w:r w:rsidR="00FC483C">
        <w:t xml:space="preserve">δικαιούχο </w:t>
      </w:r>
      <w:r>
        <w:t xml:space="preserve">κρατικής ενίσχυσης και η εν λόγω επιχείρηση θεωρείται ως «επέκταση» του </w:t>
      </w:r>
      <w:r w:rsidR="00155026">
        <w:t xml:space="preserve">δήμου </w:t>
      </w:r>
      <w:r>
        <w:t xml:space="preserve">δικαιούχου της κρατικής ενίσχυσης (αποτελεί λειτουργικά αδιαχώριστο τμήμα του δήμου), η επιχείρηση παρέχει συγκεκριμένες υπηρεσίες υπό τον αυστηρό έλεγχο του δήμου, και ο δήμος ελέγχει την εν λόγω επιχείρηση </w:t>
      </w:r>
      <w:r w:rsidR="00E109A2">
        <w:rPr>
          <w:lang w:val="el-GR"/>
        </w:rPr>
        <w:t>ομοίως</w:t>
      </w:r>
      <w:r>
        <w:t xml:space="preserve"> με τη δικ</w:t>
      </w:r>
      <w:r w:rsidR="00E109A2">
        <w:rPr>
          <w:lang w:val="el-GR"/>
        </w:rPr>
        <w:t>ές</w:t>
      </w:r>
      <w:r>
        <w:t xml:space="preserve"> </w:t>
      </w:r>
      <w:r w:rsidR="00E109A2">
        <w:rPr>
          <w:lang w:val="el-GR"/>
        </w:rPr>
        <w:t>του</w:t>
      </w:r>
      <w:r>
        <w:t xml:space="preserve"> εσωτερικ</w:t>
      </w:r>
      <w:r w:rsidR="00E109A2">
        <w:rPr>
          <w:lang w:val="el-GR"/>
        </w:rPr>
        <w:t>ές</w:t>
      </w:r>
      <w:r>
        <w:t xml:space="preserve"> </w:t>
      </w:r>
      <w:r w:rsidR="00E109A2">
        <w:rPr>
          <w:lang w:val="el-GR"/>
        </w:rPr>
        <w:t>υπηρεσίες</w:t>
      </w:r>
      <w:r>
        <w:t xml:space="preserve"> </w:t>
      </w:r>
      <w:r w:rsidR="00E109A2">
        <w:rPr>
          <w:rStyle w:val="FootnoteReference"/>
        </w:rPr>
        <w:footnoteReference w:id="47"/>
      </w:r>
      <w:r>
        <w:t>.</w:t>
      </w:r>
    </w:p>
    <w:p w14:paraId="307BE7F0" w14:textId="77777777" w:rsidR="007B1A84" w:rsidRDefault="002A0261" w:rsidP="003E0C33">
      <w:pPr>
        <w:pStyle w:val="P68B1DB1-a58"/>
        <w:numPr>
          <w:ilvl w:val="0"/>
          <w:numId w:val="25"/>
        </w:numPr>
        <w:tabs>
          <w:tab w:val="left" w:pos="393"/>
          <w:tab w:val="left" w:pos="743"/>
        </w:tabs>
        <w:spacing w:after="120"/>
        <w:ind w:right="419"/>
      </w:pPr>
      <w:r>
        <w:t xml:space="preserve">Το ποσό της κρατικής ενίσχυσης δεν μπορεί να υπερβαίνει τη διαφορά μεταξύ των επιλέξιμων δαπανών και του λειτουργικού κέρδους της επένδυσης. Δυνητικά, οι κρατικές ενισχύσεις μπορούν να καλύπτουν έως και το 100 % των επιλέξιμων δαπανών. Το κέρδος εκμετάλλευσης αφαιρείται από τις επιλέξιμες δαπάνες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t xml:space="preserve">, βάσει εύλογων προβλέψεων ή μέσω </w:t>
      </w:r>
      <w:r>
        <w:rPr>
          <w:rFonts w:ascii="Arial"/>
          <w:i/>
        </w:rPr>
        <w:t>μηχανισμού</w:t>
      </w:r>
      <w:r>
        <w:rPr>
          <w:rFonts w:ascii="Arial"/>
          <w:i/>
        </w:rPr>
        <w:t xml:space="preserve"> </w:t>
      </w:r>
      <w:r>
        <w:rPr>
          <w:rFonts w:ascii="Arial"/>
          <w:i/>
        </w:rPr>
        <w:t>ανάκτησης</w:t>
      </w:r>
      <w:r>
        <w:t>.</w:t>
      </w:r>
    </w:p>
    <w:p w14:paraId="1C7DAD31" w14:textId="77777777" w:rsidR="007B1A84" w:rsidRDefault="007B1A84" w:rsidP="003E0C33">
      <w:pPr>
        <w:pStyle w:val="BodyText"/>
        <w:spacing w:after="120"/>
        <w:rPr>
          <w:sz w:val="20"/>
        </w:rPr>
      </w:pPr>
    </w:p>
    <w:p w14:paraId="1C6A03D3" w14:textId="77777777" w:rsidR="007B1A84" w:rsidRDefault="007B1A84" w:rsidP="003E0C33">
      <w:pPr>
        <w:pStyle w:val="BodyText"/>
        <w:spacing w:after="120"/>
        <w:rPr>
          <w:sz w:val="20"/>
        </w:rPr>
      </w:pPr>
    </w:p>
    <w:p w14:paraId="2A217305" w14:textId="77777777" w:rsidR="007B1A84" w:rsidRDefault="007B1A84" w:rsidP="003E0C33">
      <w:pPr>
        <w:pStyle w:val="BodyText"/>
        <w:spacing w:after="120"/>
        <w:rPr>
          <w:sz w:val="20"/>
        </w:rPr>
      </w:pPr>
    </w:p>
    <w:p w14:paraId="60465796" w14:textId="77777777" w:rsidR="007B1A84" w:rsidRDefault="007B1A84" w:rsidP="003E0C33">
      <w:pPr>
        <w:pStyle w:val="BodyText"/>
        <w:spacing w:after="120"/>
        <w:rPr>
          <w:sz w:val="20"/>
        </w:rPr>
      </w:pPr>
    </w:p>
    <w:p w14:paraId="059B0E5B" w14:textId="77777777" w:rsidR="007B1A84" w:rsidRDefault="007B1A84" w:rsidP="003E0C33">
      <w:pPr>
        <w:pStyle w:val="BodyText"/>
        <w:spacing w:after="120"/>
        <w:rPr>
          <w:sz w:val="20"/>
        </w:rPr>
      </w:pPr>
    </w:p>
    <w:p w14:paraId="28826C03" w14:textId="77777777" w:rsidR="007B1A84" w:rsidRDefault="007B1A84" w:rsidP="003E0C33">
      <w:pPr>
        <w:pStyle w:val="BodyText"/>
        <w:spacing w:after="120"/>
        <w:rPr>
          <w:sz w:val="20"/>
        </w:rPr>
      </w:pPr>
    </w:p>
    <w:p w14:paraId="2E767659" w14:textId="77777777" w:rsidR="007B1A84" w:rsidRDefault="007B1A84" w:rsidP="003E0C33">
      <w:pPr>
        <w:pStyle w:val="BodyText"/>
        <w:spacing w:after="120"/>
        <w:rPr>
          <w:sz w:val="20"/>
        </w:rPr>
      </w:pPr>
    </w:p>
    <w:p w14:paraId="48F4AB8A" w14:textId="77777777" w:rsidR="007B1A84" w:rsidRDefault="002A0261" w:rsidP="003E0C33">
      <w:pPr>
        <w:pStyle w:val="Heading4"/>
        <w:numPr>
          <w:ilvl w:val="1"/>
          <w:numId w:val="40"/>
        </w:numPr>
        <w:tabs>
          <w:tab w:val="left" w:pos="601"/>
        </w:tabs>
        <w:spacing w:after="120"/>
        <w:ind w:hanging="576"/>
      </w:pPr>
      <w:bookmarkStart w:id="25" w:name="_bookmark62"/>
      <w:bookmarkEnd w:id="25"/>
      <w:r>
        <w:lastRenderedPageBreak/>
        <w:t>Σύνοψη των εναλλακτικών στόχων κρατικών ενισχύσεων για τη στήριξη των ΜΑΑ</w:t>
      </w:r>
    </w:p>
    <w:p w14:paraId="6D65B0EF" w14:textId="77777777" w:rsidR="007B1A84" w:rsidRDefault="007B1A84" w:rsidP="003E0C33">
      <w:pPr>
        <w:pStyle w:val="BodyText"/>
        <w:spacing w:after="120"/>
        <w:rPr>
          <w:rFonts w:ascii="Arial"/>
          <w:b/>
          <w:sz w:val="22"/>
        </w:rPr>
      </w:pPr>
    </w:p>
    <w:p w14:paraId="7141BEED" w14:textId="77777777" w:rsidR="007B1A84" w:rsidRDefault="002A0261" w:rsidP="003E0C33">
      <w:pPr>
        <w:pStyle w:val="P68B1DB1-a12"/>
        <w:spacing w:after="120"/>
        <w:ind w:left="25"/>
      </w:pPr>
      <w:r>
        <w:t>Πίνακας</w:t>
      </w:r>
      <w:r>
        <w:t xml:space="preserve"> 9: </w:t>
      </w:r>
      <w:r>
        <w:t>Συνοπτική</w:t>
      </w:r>
      <w:r>
        <w:t xml:space="preserve"> </w:t>
      </w:r>
      <w:r>
        <w:t>εφαρμογή</w:t>
      </w:r>
      <w:r>
        <w:t xml:space="preserve"> </w:t>
      </w:r>
      <w:r>
        <w:t>εναλλακτικών</w:t>
      </w:r>
      <w:r>
        <w:t xml:space="preserve"> </w:t>
      </w:r>
      <w:r>
        <w:t>στόχων</w:t>
      </w:r>
      <w:r>
        <w:t xml:space="preserve"> </w:t>
      </w:r>
      <w:r>
        <w:t>κρατικών</w:t>
      </w:r>
      <w:r>
        <w:t xml:space="preserve"> </w:t>
      </w:r>
      <w:r>
        <w:t>ενισχύσεων</w:t>
      </w:r>
      <w:r>
        <w:t xml:space="preserve"> </w:t>
      </w:r>
      <w:r>
        <w:t>για</w:t>
      </w:r>
      <w:r>
        <w:t xml:space="preserve"> </w:t>
      </w:r>
      <w:r>
        <w:t>τη</w:t>
      </w:r>
      <w:r>
        <w:t xml:space="preserve"> </w:t>
      </w:r>
      <w:r>
        <w:t>στήριξη</w:t>
      </w:r>
      <w:r>
        <w:t xml:space="preserve"> </w:t>
      </w:r>
      <w:r>
        <w:t>των</w:t>
      </w:r>
      <w:r>
        <w:t xml:space="preserve"> </w:t>
      </w:r>
      <w:r>
        <w:t>ΜΑΑ</w:t>
      </w:r>
    </w:p>
    <w:tbl>
      <w:tblPr>
        <w:tblStyle w:val="TableNormal1"/>
        <w:tblW w:w="0" w:type="auto"/>
        <w:tblInd w:w="28" w:type="dxa"/>
        <w:tblBorders>
          <w:top w:val="single" w:sz="8" w:space="0" w:color="B8CCE3"/>
          <w:left w:val="single" w:sz="8" w:space="0" w:color="B8CCE3"/>
          <w:bottom w:val="single" w:sz="8" w:space="0" w:color="B8CCE3"/>
          <w:right w:val="single" w:sz="8" w:space="0" w:color="B8CCE3"/>
          <w:insideH w:val="single" w:sz="8" w:space="0" w:color="B8CCE3"/>
          <w:insideV w:val="single" w:sz="8" w:space="0" w:color="B8CCE3"/>
        </w:tblBorders>
        <w:tblLayout w:type="fixed"/>
        <w:tblLook w:val="01E0" w:firstRow="1" w:lastRow="1" w:firstColumn="1" w:lastColumn="1" w:noHBand="0" w:noVBand="0"/>
      </w:tblPr>
      <w:tblGrid>
        <w:gridCol w:w="2211"/>
        <w:gridCol w:w="7161"/>
      </w:tblGrid>
      <w:tr w:rsidR="007B1A84" w14:paraId="1007F92E" w14:textId="77777777" w:rsidTr="00EA0D34">
        <w:trPr>
          <w:trHeight w:val="316"/>
        </w:trPr>
        <w:tc>
          <w:tcPr>
            <w:tcW w:w="2211" w:type="dxa"/>
            <w:tcBorders>
              <w:bottom w:val="single" w:sz="8" w:space="0" w:color="94B3D6"/>
            </w:tcBorders>
            <w:shd w:val="clear" w:color="auto" w:fill="F9BE8F"/>
            <w:vAlign w:val="center"/>
          </w:tcPr>
          <w:p w14:paraId="657F9160" w14:textId="77777777" w:rsidR="007B1A84" w:rsidRDefault="002A0261" w:rsidP="00EA0D34">
            <w:pPr>
              <w:pStyle w:val="P68B1DB1-TableParagraph15"/>
              <w:spacing w:after="120"/>
              <w:ind w:left="278"/>
              <w:jc w:val="center"/>
            </w:pPr>
            <w:r>
              <w:t>Στόχοι</w:t>
            </w:r>
            <w:r>
              <w:t xml:space="preserve"> </w:t>
            </w:r>
            <w:r>
              <w:t>κρατικών</w:t>
            </w:r>
            <w:r>
              <w:t xml:space="preserve"> </w:t>
            </w:r>
            <w:r>
              <w:t>ενισχύσεων</w:t>
            </w:r>
          </w:p>
        </w:tc>
        <w:tc>
          <w:tcPr>
            <w:tcW w:w="7161" w:type="dxa"/>
            <w:tcBorders>
              <w:bottom w:val="single" w:sz="8" w:space="0" w:color="94B3D6"/>
            </w:tcBorders>
            <w:shd w:val="clear" w:color="auto" w:fill="F9BE8F"/>
            <w:vAlign w:val="center"/>
          </w:tcPr>
          <w:p w14:paraId="69F8FCD2" w14:textId="77777777" w:rsidR="007B1A84" w:rsidRDefault="002A0261" w:rsidP="00EA0D34">
            <w:pPr>
              <w:pStyle w:val="P68B1DB1-TableParagraph15"/>
              <w:spacing w:after="120"/>
              <w:ind w:left="31"/>
              <w:jc w:val="center"/>
            </w:pPr>
            <w:r>
              <w:t>Περίληψη</w:t>
            </w:r>
            <w:r>
              <w:t xml:space="preserve"> </w:t>
            </w:r>
            <w:r>
              <w:t>της</w:t>
            </w:r>
            <w:r>
              <w:t xml:space="preserve"> </w:t>
            </w:r>
            <w:r>
              <w:t>δυνατότητας</w:t>
            </w:r>
            <w:r>
              <w:t xml:space="preserve"> </w:t>
            </w:r>
            <w:r>
              <w:t>εφαρμογής</w:t>
            </w:r>
          </w:p>
        </w:tc>
      </w:tr>
      <w:tr w:rsidR="007B1A84" w14:paraId="304FDCFF" w14:textId="77777777" w:rsidTr="00EA0D34">
        <w:trPr>
          <w:trHeight w:val="1981"/>
        </w:trPr>
        <w:tc>
          <w:tcPr>
            <w:tcW w:w="2211" w:type="dxa"/>
            <w:tcBorders>
              <w:top w:val="single" w:sz="8" w:space="0" w:color="94B3D6"/>
            </w:tcBorders>
            <w:vAlign w:val="center"/>
          </w:tcPr>
          <w:p w14:paraId="6F672EC7" w14:textId="77777777" w:rsidR="007B1A84" w:rsidRDefault="002A0261" w:rsidP="00EA0D34">
            <w:pPr>
              <w:pStyle w:val="P68B1DB1-TableParagraph13"/>
              <w:spacing w:after="120"/>
              <w:ind w:left="118"/>
            </w:pPr>
            <w:r>
              <w:t>Αντιστάθμιση ΥΓΟΣ</w:t>
            </w:r>
          </w:p>
        </w:tc>
        <w:tc>
          <w:tcPr>
            <w:tcW w:w="7161" w:type="dxa"/>
            <w:tcBorders>
              <w:top w:val="single" w:sz="8" w:space="0" w:color="94B3D6"/>
            </w:tcBorders>
          </w:tcPr>
          <w:p w14:paraId="647A813A" w14:textId="77777777" w:rsidR="007B1A84" w:rsidRDefault="002A0261" w:rsidP="003E0C33">
            <w:pPr>
              <w:pStyle w:val="P68B1DB1-TableParagraph13"/>
              <w:spacing w:after="120"/>
              <w:ind w:left="118" w:right="93"/>
              <w:jc w:val="both"/>
            </w:pPr>
            <w:r>
              <w:t>Μπορεί να εφαρμοστεί σε επενδύσεις στις οποίες η αγορά δεν ενδιαφέρεται να επενδύσει, λαμβανομένων υπόψη ειδικών όρων που καθορίζονται από το κράτος, όπως η τιμή, τα αντικειμενικά ποιοτικά χαρακτηριστικά, η συνέχεια και η πρόσβαση στις υπηρεσίες.</w:t>
            </w:r>
          </w:p>
          <w:p w14:paraId="4ABC6E81" w14:textId="77777777" w:rsidR="007B1A84" w:rsidRDefault="002A0261" w:rsidP="003E0C33">
            <w:pPr>
              <w:pStyle w:val="P68B1DB1-TableParagraph13"/>
              <w:spacing w:after="120"/>
              <w:ind w:left="118" w:right="101"/>
              <w:jc w:val="both"/>
            </w:pPr>
            <w:r>
              <w:t>Στον τομέα της διαχείρισης αποβλήτων τα κράτη μέλη έχουν τη διακριτική ευχέρεια να ορίσουν μια υπηρεσία ως ΥΓΟΣ προς το δημόσιο συμφέρον και να χορηγήσουν αποζημίωση για την παροχή της υπηρεσίας.</w:t>
            </w:r>
          </w:p>
          <w:p w14:paraId="39E81BF0" w14:textId="77777777" w:rsidR="007B1A84" w:rsidRDefault="002A0261" w:rsidP="003E0C33">
            <w:pPr>
              <w:pStyle w:val="P68B1DB1-TableParagraph13"/>
              <w:spacing w:after="120"/>
              <w:ind w:left="118" w:right="85"/>
              <w:jc w:val="both"/>
            </w:pPr>
            <w:r>
              <w:t>Δεν μπορεί να εφαρμοστεί στις δραστηριότητες διαχείρισης αποβλήτων που παρέχονται ήδη από την αγορά.</w:t>
            </w:r>
          </w:p>
          <w:p w14:paraId="18848E32" w14:textId="77777777" w:rsidR="007B1A84" w:rsidRDefault="002A0261" w:rsidP="003E0C33">
            <w:pPr>
              <w:pStyle w:val="P68B1DB1-TableParagraph13"/>
              <w:spacing w:after="120"/>
              <w:ind w:left="118"/>
              <w:jc w:val="both"/>
            </w:pPr>
            <w:r>
              <w:t>Μέγιστη ένταση κρατικής ενίσχυσης: Καταρτίστηκε με βάση υπολογισμούς του χρηματοδοτικού κενού</w:t>
            </w:r>
          </w:p>
        </w:tc>
      </w:tr>
      <w:tr w:rsidR="007B1A84" w14:paraId="4B919499" w14:textId="77777777" w:rsidTr="00EA0D34">
        <w:trPr>
          <w:trHeight w:val="2862"/>
        </w:trPr>
        <w:tc>
          <w:tcPr>
            <w:tcW w:w="2211" w:type="dxa"/>
            <w:vAlign w:val="center"/>
          </w:tcPr>
          <w:p w14:paraId="0A0EDB32" w14:textId="77777777" w:rsidR="007B1A84" w:rsidRDefault="002A0261" w:rsidP="00EA0D34">
            <w:pPr>
              <w:pStyle w:val="P68B1DB1-TableParagraph13"/>
              <w:spacing w:after="120"/>
              <w:ind w:left="118"/>
            </w:pPr>
            <w:r>
              <w:t>Περιφερειακές επενδυτικές ενισχύσεις(ΓΚΑΚ, άρθρο 14)</w:t>
            </w:r>
          </w:p>
        </w:tc>
        <w:tc>
          <w:tcPr>
            <w:tcW w:w="7161" w:type="dxa"/>
          </w:tcPr>
          <w:p w14:paraId="76FBCD3A" w14:textId="77777777" w:rsidR="007B1A84" w:rsidRDefault="002A0261" w:rsidP="003E0C33">
            <w:pPr>
              <w:pStyle w:val="P68B1DB1-TableParagraph13"/>
              <w:spacing w:after="120"/>
              <w:ind w:left="118" w:right="85"/>
              <w:jc w:val="both"/>
            </w:pPr>
            <w:r>
              <w:t>Μπορεί να εφαρμοστεί σε επενδύσεις (ad hoc κρατικές ενισχύσεις ή κρατικές ενισχύσεις που χορηγούνται σύμφωνα με το καθεστώς κρατικών ενισχύσεων) σε επενδύσεις σε περιοχές της χώρας που καλύπτονται από τον χάρτη περιφερειακών ενισχύσεων.</w:t>
            </w:r>
          </w:p>
          <w:p w14:paraId="34FD0F86" w14:textId="77777777" w:rsidR="007B1A84" w:rsidRDefault="002A0261" w:rsidP="003E0C33">
            <w:pPr>
              <w:pStyle w:val="P68B1DB1-TableParagraph13"/>
              <w:spacing w:after="120"/>
              <w:ind w:left="118" w:right="83"/>
              <w:jc w:val="both"/>
            </w:pPr>
            <w:r>
              <w:t>Κρατική ενίσχυση μπορεί να χορηγηθεί εάν προβλέπονται προγραμματισμένες επενδύσεις για τη δημιουργία νέας διευκόλυνσης, κατ’ επέκταση υφιστάμενης διευκόλυνσης, για την έναρξη νέας οικονομικής δραστηριότητας, για την αλλαγή θεμελιωδώς υφιστάμενης δραστηριότητας (χαρακτηρίζονται ως αρχικές επενδύσεις όπως ορίζονται στον ΓΚΑΚ και τις ΚΓΠΕ).</w:t>
            </w:r>
          </w:p>
          <w:p w14:paraId="6B495F6B" w14:textId="60EFF246" w:rsidR="007B1A84" w:rsidRDefault="002A0261" w:rsidP="003E0C33">
            <w:pPr>
              <w:pStyle w:val="P68B1DB1-TableParagraph13"/>
              <w:spacing w:after="120"/>
              <w:ind w:left="118"/>
            </w:pPr>
            <w:r>
              <w:t xml:space="preserve">Δεν μπορεί να εφαρμοστεί σε εδάφη κράτους μέλους που δεν καλύπτονται από τον χάρτη περιφερειακών ενισχύσεων. Μέγιστες εντάσεις κρατικών ενισχύσεων: Ανάλογα με </w:t>
            </w:r>
            <w:r w:rsidR="00EA0D34">
              <w:rPr>
                <w:lang w:val="el-GR"/>
              </w:rPr>
              <w:t>την περιοχή</w:t>
            </w:r>
            <w:r>
              <w:t xml:space="preserve"> στο οποίο πραγματοποιούνται οι επενδύσεις:</w:t>
            </w:r>
          </w:p>
          <w:p w14:paraId="78DE809B" w14:textId="77777777" w:rsidR="007B1A84" w:rsidRDefault="002A0261" w:rsidP="003E0C33">
            <w:pPr>
              <w:pStyle w:val="P68B1DB1-TableParagraph13"/>
              <w:numPr>
                <w:ilvl w:val="0"/>
                <w:numId w:val="22"/>
              </w:numPr>
              <w:tabs>
                <w:tab w:val="left" w:pos="838"/>
              </w:tabs>
              <w:spacing w:after="120"/>
              <w:ind w:left="838" w:hanging="352"/>
            </w:pPr>
            <w:r>
              <w:t>15-25 % στις ενισχυόμενες περιοχές του άρθρου 107 παράγραφος 3 στοιχείο γ)</w:t>
            </w:r>
          </w:p>
          <w:p w14:paraId="0AF8BA84" w14:textId="77777777" w:rsidR="007B1A84" w:rsidRDefault="002A0261" w:rsidP="003E0C33">
            <w:pPr>
              <w:pStyle w:val="P68B1DB1-TableParagraph13"/>
              <w:numPr>
                <w:ilvl w:val="0"/>
                <w:numId w:val="22"/>
              </w:numPr>
              <w:tabs>
                <w:tab w:val="left" w:pos="838"/>
              </w:tabs>
              <w:spacing w:after="120"/>
              <w:ind w:left="838" w:hanging="352"/>
            </w:pPr>
            <w:r>
              <w:t>40-60 % στις ενισχυόμενες περιοχές του άρθρου 107 παράγραφος 3 στοιχείο α)</w:t>
            </w:r>
          </w:p>
          <w:p w14:paraId="03180557" w14:textId="77777777" w:rsidR="007B1A84" w:rsidRDefault="002A0261" w:rsidP="003E0C33">
            <w:pPr>
              <w:pStyle w:val="P68B1DB1-TableParagraph13"/>
              <w:numPr>
                <w:ilvl w:val="0"/>
                <w:numId w:val="22"/>
              </w:numPr>
              <w:tabs>
                <w:tab w:val="left" w:pos="838"/>
              </w:tabs>
              <w:spacing w:after="120"/>
              <w:ind w:left="838" w:hanging="352"/>
            </w:pPr>
            <w:r>
              <w:t>Πριμοδοτήσεις για μικρές επιχειρήσεις 20 % και για μεσαίες επιχειρήσεις 10 %</w:t>
            </w:r>
          </w:p>
        </w:tc>
      </w:tr>
      <w:tr w:rsidR="007B1A84" w14:paraId="675CDDC1" w14:textId="77777777" w:rsidTr="00EA0D34">
        <w:trPr>
          <w:trHeight w:val="4160"/>
        </w:trPr>
        <w:tc>
          <w:tcPr>
            <w:tcW w:w="2211" w:type="dxa"/>
            <w:vAlign w:val="center"/>
          </w:tcPr>
          <w:p w14:paraId="0BB309B0" w14:textId="77777777" w:rsidR="007B1A84" w:rsidRDefault="002A0261" w:rsidP="00EA0D34">
            <w:pPr>
              <w:pStyle w:val="P68B1DB1-TableParagraph13"/>
              <w:spacing w:after="120"/>
              <w:ind w:left="118" w:right="9"/>
            </w:pPr>
            <w:r>
              <w:t>Επενδυτικές κρατικές ενισχύσεις για τη χωριστή συλλογή και διαλογή αποβλήτων, την επαναχρησιμοποίηση ή την ανακύκλωση αποβλήτων (κ.λπ.) (ΓΚΑΚ, άρθρο 47)</w:t>
            </w:r>
          </w:p>
        </w:tc>
        <w:tc>
          <w:tcPr>
            <w:tcW w:w="7161" w:type="dxa"/>
          </w:tcPr>
          <w:p w14:paraId="6E8753EA" w14:textId="77777777" w:rsidR="007B1A84" w:rsidRDefault="002A0261" w:rsidP="003E0C33">
            <w:pPr>
              <w:pStyle w:val="P68B1DB1-TableParagraph13"/>
              <w:spacing w:after="120"/>
              <w:ind w:left="118" w:right="94"/>
              <w:jc w:val="both"/>
            </w:pPr>
            <w:r>
              <w:t>Μπορεί να εφαρμοστεί για δραστηριότητες διαχείρισης αποβλήτων με προσδιορίσιμες ανεπάρκειες της αγοράς που δεν θα μπορούσαν να αντιμετωπιστούν από την αγορά χωρίς κρατική ενίσχυση.</w:t>
            </w:r>
          </w:p>
          <w:p w14:paraId="58AB33F0" w14:textId="77777777" w:rsidR="007B1A84" w:rsidRDefault="002A0261" w:rsidP="003E0C33">
            <w:pPr>
              <w:pStyle w:val="P68B1DB1-TableParagraph13"/>
              <w:spacing w:after="120"/>
              <w:ind w:left="118"/>
              <w:jc w:val="both"/>
            </w:pPr>
            <w:r>
              <w:t>Δεν μπορεί να εφαρμοστεί:</w:t>
            </w:r>
          </w:p>
          <w:p w14:paraId="3AF468D0" w14:textId="77777777" w:rsidR="007B1A84" w:rsidRDefault="002A0261" w:rsidP="003E0C33">
            <w:pPr>
              <w:pStyle w:val="P68B1DB1-TableParagraph13"/>
              <w:numPr>
                <w:ilvl w:val="0"/>
                <w:numId w:val="21"/>
              </w:numPr>
              <w:tabs>
                <w:tab w:val="left" w:pos="484"/>
                <w:tab w:val="left" w:pos="486"/>
              </w:tabs>
              <w:spacing w:after="120"/>
              <w:ind w:right="98"/>
              <w:jc w:val="both"/>
            </w:pPr>
            <w:r>
              <w:t>για επενδύσεις που πραγματοποιούνται για τη συμμόρφωση με τα ενωσιακά πρότυπα που έχουν εγκριθεί και ισχύουν.</w:t>
            </w:r>
          </w:p>
          <w:p w14:paraId="4D65B93F" w14:textId="77777777" w:rsidR="007B1A84" w:rsidRDefault="002A0261" w:rsidP="003E0C33">
            <w:pPr>
              <w:pStyle w:val="P68B1DB1-TableParagraph13"/>
              <w:numPr>
                <w:ilvl w:val="0"/>
                <w:numId w:val="21"/>
              </w:numPr>
              <w:tabs>
                <w:tab w:val="left" w:pos="484"/>
                <w:tab w:val="left" w:pos="486"/>
              </w:tabs>
              <w:spacing w:after="120"/>
              <w:ind w:right="85"/>
              <w:jc w:val="both"/>
            </w:pPr>
            <w:r>
              <w:t>Σε επενδύσεις που σχετίζονται με τεχνολογίες που συνιστούν ήδη κερδοφόρα καθιερωμένη εμπορική πρακτική σε ολόκληρη την ΕΕ. Ωστόσο, οι ανεπάρκειες της αγοράς μπορεί να δικαιολογούνται μετά από λεπτομερή αξιολόγηση της αγοράς που αιτιολογεί τους λόγους για τους οποίους η αγορά δεν είναι πρόθυμη να επενδύσει στις δραστηριότητες διαχείρισης αποβλήτων που απαιτούνται για τη συμμόρφωση με τους στόχους διαχείρισης αποβλήτων που έχουν τεθεί από την ΕΕ.</w:t>
            </w:r>
          </w:p>
          <w:p w14:paraId="52807CE1" w14:textId="77777777" w:rsidR="007B1A84" w:rsidRDefault="002A0261" w:rsidP="003E0C33">
            <w:pPr>
              <w:pStyle w:val="P68B1DB1-TableParagraph13"/>
              <w:spacing w:after="120"/>
              <w:ind w:left="118"/>
              <w:jc w:val="both"/>
            </w:pPr>
            <w:r>
              <w:t>Μέγιστες εντάσεις κρατικών ενισχύσεων:</w:t>
            </w:r>
          </w:p>
          <w:p w14:paraId="26439929" w14:textId="77777777" w:rsidR="007B1A84" w:rsidRDefault="002A0261" w:rsidP="003E0C33">
            <w:pPr>
              <w:pStyle w:val="P68B1DB1-TableParagraph13"/>
              <w:numPr>
                <w:ilvl w:val="1"/>
                <w:numId w:val="21"/>
              </w:numPr>
              <w:tabs>
                <w:tab w:val="left" w:pos="838"/>
              </w:tabs>
              <w:spacing w:after="120"/>
              <w:ind w:left="838" w:hanging="352"/>
            </w:pPr>
            <w:r>
              <w:t>40 % βασική ένταση</w:t>
            </w:r>
          </w:p>
          <w:p w14:paraId="0A577012" w14:textId="77777777" w:rsidR="007B1A84" w:rsidRDefault="002A0261" w:rsidP="003E0C33">
            <w:pPr>
              <w:pStyle w:val="P68B1DB1-TableParagraph13"/>
              <w:numPr>
                <w:ilvl w:val="1"/>
                <w:numId w:val="21"/>
              </w:numPr>
              <w:tabs>
                <w:tab w:val="left" w:pos="838"/>
              </w:tabs>
              <w:spacing w:after="120"/>
              <w:ind w:left="838" w:hanging="352"/>
            </w:pPr>
            <w:r>
              <w:t>55 % για τις επιχειρήσεις που είναι εγκατεστημένες στις ενισχυόμενες περιοχές του άρθρου 107 παράγραφος 3 στοιχείο α)</w:t>
            </w:r>
          </w:p>
          <w:p w14:paraId="57732287" w14:textId="77777777" w:rsidR="007B1A84" w:rsidRDefault="002A0261" w:rsidP="003E0C33">
            <w:pPr>
              <w:pStyle w:val="P68B1DB1-TableParagraph13"/>
              <w:numPr>
                <w:ilvl w:val="1"/>
                <w:numId w:val="21"/>
              </w:numPr>
              <w:tabs>
                <w:tab w:val="left" w:pos="838"/>
              </w:tabs>
              <w:spacing w:after="120"/>
              <w:ind w:left="838" w:hanging="352"/>
            </w:pPr>
            <w:r>
              <w:t>45 % για τις επιχειρήσεις που είναι εγκατεστημένες στις ενισχυόμενες περιοχές του άρθρου 107 παράγραφος 3 στοιχείο γ)</w:t>
            </w:r>
          </w:p>
          <w:p w14:paraId="77007386" w14:textId="77777777" w:rsidR="007B1A84" w:rsidRDefault="002A0261" w:rsidP="003E0C33">
            <w:pPr>
              <w:pStyle w:val="P68B1DB1-TableParagraph13"/>
              <w:numPr>
                <w:ilvl w:val="1"/>
                <w:numId w:val="21"/>
              </w:numPr>
              <w:tabs>
                <w:tab w:val="left" w:pos="838"/>
              </w:tabs>
              <w:spacing w:after="120"/>
              <w:ind w:left="838" w:hanging="352"/>
            </w:pPr>
            <w:r>
              <w:t>Πριμοδοτήσεις για μικρές επιχειρήσεις 20 % και για μεσαίες επιχειρήσεις 10 %</w:t>
            </w:r>
          </w:p>
        </w:tc>
      </w:tr>
      <w:tr w:rsidR="007B1A84" w14:paraId="0A68B452" w14:textId="77777777" w:rsidTr="006B38D1">
        <w:trPr>
          <w:trHeight w:val="1400"/>
        </w:trPr>
        <w:tc>
          <w:tcPr>
            <w:tcW w:w="2211" w:type="dxa"/>
            <w:vAlign w:val="center"/>
          </w:tcPr>
          <w:p w14:paraId="2296882D" w14:textId="77777777" w:rsidR="007B1A84" w:rsidRDefault="002A0261" w:rsidP="006B38D1">
            <w:pPr>
              <w:pStyle w:val="P68B1DB1-TableParagraph13"/>
              <w:spacing w:after="120"/>
              <w:ind w:left="118"/>
            </w:pPr>
            <w:r>
              <w:t>Επενδυτικές κρατικές ενισχύσεις για τοπικές υποδομές (ΓΚΑΚ, άρθρο 56)</w:t>
            </w:r>
          </w:p>
        </w:tc>
        <w:tc>
          <w:tcPr>
            <w:tcW w:w="7161" w:type="dxa"/>
          </w:tcPr>
          <w:p w14:paraId="03F2D9AD" w14:textId="77777777" w:rsidR="007B1A84" w:rsidRDefault="002A0261" w:rsidP="003E0C33">
            <w:pPr>
              <w:pStyle w:val="P68B1DB1-TableParagraph13"/>
              <w:spacing w:after="120"/>
              <w:ind w:left="118"/>
              <w:jc w:val="both"/>
            </w:pPr>
            <w:r>
              <w:t>Μπορεί να εφαρμοστεί μόνο στον βαθμό που ο ΓΚΑΚ δεν εφαρμόζεται.</w:t>
            </w:r>
          </w:p>
          <w:p w14:paraId="16958596" w14:textId="77777777" w:rsidR="007B1A84" w:rsidRDefault="002A0261" w:rsidP="006B38D1">
            <w:pPr>
              <w:pStyle w:val="P68B1DB1-TableParagraph13"/>
              <w:spacing w:after="120"/>
              <w:ind w:left="118"/>
              <w:jc w:val="both"/>
            </w:pPr>
            <w:r>
              <w:t>Δεν μπορεί να εφαρμοστεί εάν η υποδομή έχει κατασκευαστεί για προκαθορισμένο τρίτο φορέα εκμετάλλευσης. Δεν ισχύει, εάν η υποδομή έχει κατασκευαστεί και ανατεθεί περαιτέρω για τη λειτουργία της σε εσωτερική εταιρεία.</w:t>
            </w:r>
          </w:p>
          <w:p w14:paraId="013286C4" w14:textId="3DF8B179" w:rsidR="007B1A84" w:rsidRDefault="002A0261" w:rsidP="003E0C33">
            <w:pPr>
              <w:pStyle w:val="P68B1DB1-TableParagraph13"/>
              <w:spacing w:after="120"/>
              <w:ind w:left="118"/>
              <w:jc w:val="both"/>
            </w:pPr>
            <w:r>
              <w:t xml:space="preserve">Μέγιστη ένταση κρατικής ενίσχυσης: </w:t>
            </w:r>
            <w:r w:rsidR="006B38D1">
              <w:rPr>
                <w:lang w:val="el-GR"/>
              </w:rPr>
              <w:t>Με</w:t>
            </w:r>
            <w:r>
              <w:t xml:space="preserve"> βάση υπολογισμούς του χρηματοδοτικού κενού</w:t>
            </w:r>
          </w:p>
        </w:tc>
      </w:tr>
    </w:tbl>
    <w:p w14:paraId="6DDA5A38" w14:textId="77777777" w:rsidR="007B1A84" w:rsidRDefault="007B1A84" w:rsidP="003E0C33">
      <w:pPr>
        <w:pStyle w:val="BodyText"/>
        <w:spacing w:after="120"/>
        <w:rPr>
          <w:rFonts w:ascii="Arial"/>
          <w:b/>
          <w:sz w:val="17"/>
        </w:rPr>
      </w:pPr>
    </w:p>
    <w:p w14:paraId="6CC41708" w14:textId="09A547F8" w:rsidR="007B1A84" w:rsidRPr="006B38D1" w:rsidRDefault="002A0261" w:rsidP="003E0C33">
      <w:pPr>
        <w:pStyle w:val="P68B1DB1-a58"/>
        <w:numPr>
          <w:ilvl w:val="0"/>
          <w:numId w:val="25"/>
        </w:numPr>
        <w:tabs>
          <w:tab w:val="left" w:pos="393"/>
          <w:tab w:val="left" w:pos="743"/>
        </w:tabs>
        <w:spacing w:after="120"/>
        <w:ind w:right="413"/>
      </w:pPr>
      <w:r>
        <w:t xml:space="preserve">Η αξιολόγηση της </w:t>
      </w:r>
      <w:r w:rsidR="006B38D1">
        <w:rPr>
          <w:lang w:val="el-GR"/>
        </w:rPr>
        <w:t xml:space="preserve">ομάδας </w:t>
      </w:r>
      <w:r>
        <w:t>Jaspers σχετικά με τους στόχους των κρατικών ενισχύσεων δείχνει ότι επί του παρόντος ένας συνδυασμός δύο στόχων κρατικών ενισχύσεων — αντιστάθμιση ΥΓΟΣ και περιφερειακές επενδυτικές ενισχύσεις (εξαρτώμενες από συγκεκριμένη περιφέρεια εφαρμογής) — θα μπορούσε να είναι ο βέλτιστος για τη στήριξη των επενδύσεων στον ΜΑΑ. Ο συνδυασμός αυτός, μολονότι δεν επιστρέφει πάντοτε τη μέγιστη δυνατή αντιστάθμιση για τις κρατικές ενισχύσεις, εξετάζεται λόγω της δυνατότητας εφαρμογής, των απαιτήσεων παρακολούθησης και των δυνητικών κινδύνων.</w:t>
      </w:r>
    </w:p>
    <w:p w14:paraId="5BAEBD18" w14:textId="49D3C78D" w:rsidR="007B1A84" w:rsidRDefault="002A0261" w:rsidP="003E0C33">
      <w:pPr>
        <w:pStyle w:val="P68B1DB1-a12"/>
        <w:spacing w:after="120"/>
        <w:ind w:left="25"/>
        <w:jc w:val="both"/>
      </w:pPr>
      <w:r>
        <w:t>Πίνακας</w:t>
      </w:r>
      <w:r>
        <w:t xml:space="preserve"> 10: </w:t>
      </w:r>
      <w:r>
        <w:t>Δυνατότητα</w:t>
      </w:r>
      <w:r>
        <w:t xml:space="preserve"> </w:t>
      </w:r>
      <w:r>
        <w:t>εφαρμογής</w:t>
      </w:r>
      <w:r>
        <w:t xml:space="preserve"> </w:t>
      </w:r>
      <w:r>
        <w:t>εναλλακτικών</w:t>
      </w:r>
      <w:r>
        <w:t xml:space="preserve"> </w:t>
      </w:r>
      <w:r>
        <w:t>στόχων</w:t>
      </w:r>
      <w:r>
        <w:t xml:space="preserve"> </w:t>
      </w:r>
      <w:r>
        <w:t>κρατικών</w:t>
      </w:r>
      <w:r>
        <w:t xml:space="preserve"> </w:t>
      </w:r>
      <w:r>
        <w:t>ενισχύσεων</w:t>
      </w:r>
      <w:r>
        <w:t xml:space="preserve"> </w:t>
      </w:r>
      <w:r>
        <w:t>για</w:t>
      </w:r>
      <w:r>
        <w:t xml:space="preserve"> </w:t>
      </w:r>
      <w:r>
        <w:t>τη</w:t>
      </w:r>
      <w:r>
        <w:t xml:space="preserve"> </w:t>
      </w:r>
      <w:r>
        <w:t>στήριξη</w:t>
      </w:r>
      <w:r>
        <w:t xml:space="preserve"> </w:t>
      </w:r>
      <w:r>
        <w:t>διαφορετικών</w:t>
      </w:r>
      <w:r>
        <w:t xml:space="preserve"> </w:t>
      </w:r>
      <w:r w:rsidR="003D6A92">
        <w:rPr>
          <w:lang w:val="el-GR"/>
        </w:rPr>
        <w:t>ρευμάτων</w:t>
      </w:r>
      <w:r w:rsidR="003D6A92">
        <w:rPr>
          <w:lang w:val="el-GR"/>
        </w:rPr>
        <w:t xml:space="preserve"> </w:t>
      </w:r>
      <w:r w:rsidR="003D6A92">
        <w:rPr>
          <w:lang w:val="el-GR"/>
        </w:rPr>
        <w:t>αποβλήτων</w:t>
      </w:r>
      <w:r w:rsidR="003D6A92">
        <w:rPr>
          <w:lang w:val="el-GR"/>
        </w:rPr>
        <w:t xml:space="preserve"> </w:t>
      </w:r>
      <w:r w:rsidR="003D6A92">
        <w:rPr>
          <w:lang w:val="el-GR"/>
        </w:rPr>
        <w:t>στις</w:t>
      </w:r>
      <w:r>
        <w:t xml:space="preserve"> </w:t>
      </w:r>
      <w:r>
        <w:t>ΜΑΑ</w:t>
      </w:r>
    </w:p>
    <w:tbl>
      <w:tblPr>
        <w:tblStyle w:val="TableNormal1"/>
        <w:tblW w:w="0" w:type="auto"/>
        <w:tblInd w:w="28" w:type="dxa"/>
        <w:tblBorders>
          <w:top w:val="single" w:sz="8" w:space="0" w:color="B6DDE8"/>
          <w:left w:val="single" w:sz="8" w:space="0" w:color="B6DDE8"/>
          <w:bottom w:val="single" w:sz="8" w:space="0" w:color="B6DDE8"/>
          <w:right w:val="single" w:sz="8" w:space="0" w:color="B6DDE8"/>
          <w:insideH w:val="single" w:sz="8" w:space="0" w:color="B6DDE8"/>
          <w:insideV w:val="single" w:sz="8" w:space="0" w:color="B6DDE8"/>
        </w:tblBorders>
        <w:tblLayout w:type="fixed"/>
        <w:tblLook w:val="01E0" w:firstRow="1" w:lastRow="1" w:firstColumn="1" w:lastColumn="1" w:noHBand="0" w:noVBand="0"/>
      </w:tblPr>
      <w:tblGrid>
        <w:gridCol w:w="2147"/>
        <w:gridCol w:w="1170"/>
        <w:gridCol w:w="1746"/>
        <w:gridCol w:w="1810"/>
        <w:gridCol w:w="2499"/>
      </w:tblGrid>
      <w:tr w:rsidR="007B1A84" w14:paraId="12077EC7" w14:textId="77777777" w:rsidTr="00F000B6">
        <w:trPr>
          <w:trHeight w:val="733"/>
        </w:trPr>
        <w:tc>
          <w:tcPr>
            <w:tcW w:w="2147" w:type="dxa"/>
            <w:tcBorders>
              <w:bottom w:val="single" w:sz="8" w:space="0" w:color="92CDDC"/>
            </w:tcBorders>
            <w:shd w:val="clear" w:color="auto" w:fill="F9BE8F"/>
            <w:vAlign w:val="center"/>
          </w:tcPr>
          <w:p w14:paraId="59992A78" w14:textId="77777777" w:rsidR="007B1A84" w:rsidRDefault="007B1A84" w:rsidP="00F000B6">
            <w:pPr>
              <w:pStyle w:val="TableParagraph"/>
              <w:spacing w:after="120"/>
              <w:jc w:val="center"/>
              <w:rPr>
                <w:rFonts w:ascii="Times New Roman"/>
                <w:sz w:val="18"/>
              </w:rPr>
            </w:pPr>
          </w:p>
        </w:tc>
        <w:tc>
          <w:tcPr>
            <w:tcW w:w="1170" w:type="dxa"/>
            <w:tcBorders>
              <w:bottom w:val="single" w:sz="8" w:space="0" w:color="92CDDC"/>
            </w:tcBorders>
            <w:shd w:val="clear" w:color="auto" w:fill="F9BE8F"/>
            <w:vAlign w:val="center"/>
          </w:tcPr>
          <w:p w14:paraId="63FF14E2" w14:textId="77777777" w:rsidR="007B1A84" w:rsidRDefault="002A0261" w:rsidP="00F000B6">
            <w:pPr>
              <w:pStyle w:val="P68B1DB1-TableParagraph15"/>
              <w:spacing w:after="120"/>
              <w:ind w:left="19" w:right="4"/>
              <w:jc w:val="center"/>
            </w:pPr>
            <w:r>
              <w:t>ΥΓΟΣ</w:t>
            </w:r>
          </w:p>
        </w:tc>
        <w:tc>
          <w:tcPr>
            <w:tcW w:w="1746" w:type="dxa"/>
            <w:tcBorders>
              <w:bottom w:val="single" w:sz="8" w:space="0" w:color="92CDDC"/>
            </w:tcBorders>
            <w:shd w:val="clear" w:color="auto" w:fill="F9BE8F"/>
            <w:vAlign w:val="center"/>
          </w:tcPr>
          <w:p w14:paraId="4BD11365" w14:textId="77777777" w:rsidR="007B1A84" w:rsidRDefault="002A0261" w:rsidP="00F000B6">
            <w:pPr>
              <w:pStyle w:val="P68B1DB1-TableParagraph15"/>
              <w:spacing w:after="120"/>
              <w:ind w:left="229" w:right="187" w:firstLine="5"/>
              <w:jc w:val="center"/>
            </w:pPr>
            <w:r>
              <w:t>Κρατικές</w:t>
            </w:r>
            <w:r>
              <w:t xml:space="preserve"> </w:t>
            </w:r>
            <w:r>
              <w:t>ενισχύσεις</w:t>
            </w:r>
            <w:r>
              <w:t xml:space="preserve"> </w:t>
            </w:r>
            <w:r>
              <w:t>περιφερειακού</w:t>
            </w:r>
            <w:r>
              <w:t xml:space="preserve"> </w:t>
            </w:r>
            <w:r>
              <w:t>χαρακτήρα</w:t>
            </w:r>
            <w:r>
              <w:t xml:space="preserve"> (</w:t>
            </w:r>
            <w:r>
              <w:t>ΓΚΑΚ</w:t>
            </w:r>
            <w:r>
              <w:t xml:space="preserve">, </w:t>
            </w:r>
            <w:r>
              <w:t>άρθρο</w:t>
            </w:r>
            <w:r>
              <w:t xml:space="preserve"> 14/</w:t>
            </w:r>
            <w:r>
              <w:t>ΚΓΔ</w:t>
            </w:r>
            <w:r>
              <w:t>)</w:t>
            </w:r>
          </w:p>
        </w:tc>
        <w:tc>
          <w:tcPr>
            <w:tcW w:w="1810" w:type="dxa"/>
            <w:tcBorders>
              <w:bottom w:val="single" w:sz="8" w:space="0" w:color="92CDDC"/>
            </w:tcBorders>
            <w:shd w:val="clear" w:color="auto" w:fill="F9BE8F"/>
            <w:vAlign w:val="center"/>
          </w:tcPr>
          <w:p w14:paraId="2EE1D5BF" w14:textId="77777777" w:rsidR="007B1A84" w:rsidRDefault="002A0261" w:rsidP="00F000B6">
            <w:pPr>
              <w:pStyle w:val="P68B1DB1-TableParagraph15"/>
              <w:spacing w:after="120"/>
              <w:ind w:left="134" w:right="117" w:firstLine="16"/>
              <w:jc w:val="center"/>
            </w:pPr>
            <w:r>
              <w:t>Κυκλική</w:t>
            </w:r>
            <w:r>
              <w:t xml:space="preserve"> </w:t>
            </w:r>
            <w:r>
              <w:t>οικονομία</w:t>
            </w:r>
            <w:r>
              <w:t xml:space="preserve"> (</w:t>
            </w:r>
            <w:r>
              <w:t>ΓΚΑΚ</w:t>
            </w:r>
            <w:r>
              <w:t xml:space="preserve">, </w:t>
            </w:r>
            <w:r>
              <w:t>άρθρο</w:t>
            </w:r>
            <w:r>
              <w:t xml:space="preserve"> 47, </w:t>
            </w:r>
            <w:r>
              <w:t>ΚΓΕΚΕΠ</w:t>
            </w:r>
            <w:r>
              <w:t>)</w:t>
            </w:r>
          </w:p>
        </w:tc>
        <w:tc>
          <w:tcPr>
            <w:tcW w:w="2499" w:type="dxa"/>
            <w:tcBorders>
              <w:bottom w:val="single" w:sz="8" w:space="0" w:color="92CDDC"/>
            </w:tcBorders>
            <w:shd w:val="clear" w:color="auto" w:fill="F9BE8F"/>
            <w:vAlign w:val="center"/>
          </w:tcPr>
          <w:p w14:paraId="28D1C1E0" w14:textId="77777777" w:rsidR="007B1A84" w:rsidRDefault="002A0261" w:rsidP="00F000B6">
            <w:pPr>
              <w:pStyle w:val="P68B1DB1-TableParagraph15"/>
              <w:spacing w:after="120"/>
              <w:ind w:left="470" w:right="387" w:hanging="65"/>
              <w:jc w:val="center"/>
            </w:pPr>
            <w:r>
              <w:t>Τοπικές</w:t>
            </w:r>
            <w:r>
              <w:t xml:space="preserve"> </w:t>
            </w:r>
            <w:r>
              <w:t>υποδομές</w:t>
            </w:r>
            <w:r>
              <w:t xml:space="preserve"> (</w:t>
            </w:r>
            <w:r>
              <w:t>ΓΚΑΚ</w:t>
            </w:r>
            <w:r>
              <w:t xml:space="preserve">, </w:t>
            </w:r>
            <w:r>
              <w:t>άρθρο</w:t>
            </w:r>
            <w:r>
              <w:t xml:space="preserve"> 56)</w:t>
            </w:r>
          </w:p>
        </w:tc>
      </w:tr>
      <w:tr w:rsidR="007B1A84" w14:paraId="1AEDC318" w14:textId="77777777">
        <w:trPr>
          <w:trHeight w:val="556"/>
        </w:trPr>
        <w:tc>
          <w:tcPr>
            <w:tcW w:w="2147" w:type="dxa"/>
            <w:tcBorders>
              <w:top w:val="single" w:sz="8" w:space="0" w:color="92CDDC"/>
            </w:tcBorders>
          </w:tcPr>
          <w:p w14:paraId="449747F3" w14:textId="77777777" w:rsidR="007B1A84" w:rsidRDefault="002A0261" w:rsidP="003D6A92">
            <w:pPr>
              <w:pStyle w:val="P68B1DB1-TableParagraph15"/>
              <w:spacing w:after="120"/>
              <w:ind w:left="118" w:right="370"/>
            </w:pPr>
            <w:r>
              <w:t>Υπολειμματικά</w:t>
            </w:r>
            <w:r>
              <w:t xml:space="preserve"> </w:t>
            </w:r>
            <w:r>
              <w:t>αστικά</w:t>
            </w:r>
            <w:r>
              <w:t xml:space="preserve"> </w:t>
            </w:r>
            <w:r>
              <w:t>απόβλητα</w:t>
            </w:r>
          </w:p>
        </w:tc>
        <w:tc>
          <w:tcPr>
            <w:tcW w:w="1170" w:type="dxa"/>
            <w:tcBorders>
              <w:top w:val="single" w:sz="8" w:space="0" w:color="92CDDC"/>
            </w:tcBorders>
            <w:shd w:val="clear" w:color="auto" w:fill="D5E2BB"/>
          </w:tcPr>
          <w:p w14:paraId="7AAFFCD5" w14:textId="77777777" w:rsidR="007B1A84" w:rsidRDefault="007B1A84" w:rsidP="003E0C33">
            <w:pPr>
              <w:pStyle w:val="TableParagraph"/>
              <w:spacing w:after="120"/>
              <w:rPr>
                <w:rFonts w:ascii="Arial"/>
                <w:b/>
                <w:sz w:val="17"/>
              </w:rPr>
            </w:pPr>
          </w:p>
          <w:p w14:paraId="4C836320" w14:textId="77777777" w:rsidR="007B1A84" w:rsidRDefault="002A0261" w:rsidP="003E0C33">
            <w:pPr>
              <w:pStyle w:val="P68B1DB1-TableParagraph28"/>
              <w:spacing w:after="120"/>
              <w:ind w:left="19" w:right="4"/>
              <w:jc w:val="center"/>
            </w:pPr>
            <w:r>
              <w:t>√</w:t>
            </w:r>
          </w:p>
        </w:tc>
        <w:tc>
          <w:tcPr>
            <w:tcW w:w="1746" w:type="dxa"/>
            <w:tcBorders>
              <w:top w:val="single" w:sz="8" w:space="0" w:color="92CDDC"/>
            </w:tcBorders>
          </w:tcPr>
          <w:p w14:paraId="677EA441" w14:textId="77777777" w:rsidR="007B1A84" w:rsidRDefault="007B1A84" w:rsidP="003E0C33">
            <w:pPr>
              <w:pStyle w:val="TableParagraph"/>
              <w:spacing w:after="120"/>
              <w:rPr>
                <w:rFonts w:ascii="Arial"/>
                <w:b/>
                <w:sz w:val="17"/>
              </w:rPr>
            </w:pPr>
          </w:p>
          <w:p w14:paraId="00704575" w14:textId="77777777" w:rsidR="007B1A84" w:rsidRDefault="002A0261" w:rsidP="003E0C33">
            <w:pPr>
              <w:pStyle w:val="P68B1DB1-TableParagraph28"/>
              <w:spacing w:after="120"/>
              <w:ind w:left="51" w:right="4"/>
              <w:jc w:val="center"/>
            </w:pPr>
            <w:r>
              <w:t>√</w:t>
            </w:r>
          </w:p>
        </w:tc>
        <w:tc>
          <w:tcPr>
            <w:tcW w:w="1810" w:type="dxa"/>
            <w:tcBorders>
              <w:top w:val="single" w:sz="8" w:space="0" w:color="92CDDC"/>
            </w:tcBorders>
          </w:tcPr>
          <w:p w14:paraId="6E2545EF" w14:textId="77777777" w:rsidR="007B1A84" w:rsidRDefault="007B1A84" w:rsidP="003E0C33">
            <w:pPr>
              <w:pStyle w:val="TableParagraph"/>
              <w:spacing w:after="120"/>
              <w:rPr>
                <w:rFonts w:ascii="Arial"/>
                <w:b/>
                <w:sz w:val="17"/>
              </w:rPr>
            </w:pPr>
          </w:p>
          <w:p w14:paraId="26F8D704" w14:textId="77777777" w:rsidR="007B1A84" w:rsidRDefault="002A0261" w:rsidP="003E0C33">
            <w:pPr>
              <w:pStyle w:val="P68B1DB1-TableParagraph28"/>
              <w:spacing w:after="120"/>
              <w:ind w:left="16"/>
              <w:jc w:val="center"/>
            </w:pPr>
            <w:r>
              <w:t>√</w:t>
            </w:r>
          </w:p>
        </w:tc>
        <w:tc>
          <w:tcPr>
            <w:tcW w:w="2499" w:type="dxa"/>
            <w:tcBorders>
              <w:top w:val="single" w:sz="8" w:space="0" w:color="92CDDC"/>
            </w:tcBorders>
          </w:tcPr>
          <w:p w14:paraId="335D76C4" w14:textId="77777777" w:rsidR="007B1A84" w:rsidRDefault="007B1A84" w:rsidP="003E0C33">
            <w:pPr>
              <w:pStyle w:val="TableParagraph"/>
              <w:spacing w:after="120"/>
              <w:rPr>
                <w:rFonts w:ascii="Arial"/>
                <w:b/>
                <w:sz w:val="17"/>
              </w:rPr>
            </w:pPr>
          </w:p>
          <w:p w14:paraId="23A20D87" w14:textId="77777777" w:rsidR="007B1A84" w:rsidRDefault="002A0261" w:rsidP="003E0C33">
            <w:pPr>
              <w:pStyle w:val="P68B1DB1-TableParagraph29"/>
              <w:spacing w:after="120"/>
              <w:ind w:left="33"/>
              <w:jc w:val="center"/>
            </w:pPr>
            <w:r>
              <w:t>α/α</w:t>
            </w:r>
          </w:p>
        </w:tc>
      </w:tr>
      <w:tr w:rsidR="007B1A84" w14:paraId="6F29E062" w14:textId="77777777">
        <w:trPr>
          <w:trHeight w:val="716"/>
        </w:trPr>
        <w:tc>
          <w:tcPr>
            <w:tcW w:w="2147" w:type="dxa"/>
          </w:tcPr>
          <w:p w14:paraId="2E623B66" w14:textId="790E94E6" w:rsidR="007B1A84" w:rsidRDefault="003D6A92" w:rsidP="003D6A92">
            <w:pPr>
              <w:pStyle w:val="P68B1DB1-TableParagraph15"/>
              <w:spacing w:after="120"/>
              <w:ind w:left="118" w:right="103"/>
            </w:pPr>
            <w:r>
              <w:rPr>
                <w:lang w:val="el-GR"/>
              </w:rPr>
              <w:t>Χωριστά</w:t>
            </w:r>
            <w:r>
              <w:rPr>
                <w:lang w:val="el-GR"/>
              </w:rPr>
              <w:t xml:space="preserve"> </w:t>
            </w:r>
            <w:r>
              <w:rPr>
                <w:lang w:val="el-GR"/>
              </w:rPr>
              <w:t>συλλεγόμενα</w:t>
            </w:r>
            <w:r w:rsidR="002A0261">
              <w:t xml:space="preserve"> </w:t>
            </w:r>
            <w:r w:rsidR="002A0261">
              <w:t>Ξηρά</w:t>
            </w:r>
            <w:r w:rsidR="002A0261">
              <w:t xml:space="preserve"> </w:t>
            </w:r>
            <w:r w:rsidR="002A0261">
              <w:t>ανακυκλώσιμα</w:t>
            </w:r>
            <w:r w:rsidR="002A0261">
              <w:t xml:space="preserve"> </w:t>
            </w:r>
            <w:r w:rsidR="002A0261">
              <w:t>υλικά</w:t>
            </w:r>
            <w:r w:rsidR="002A0261">
              <w:t xml:space="preserve"> </w:t>
            </w:r>
            <w:r w:rsidR="002A0261">
              <w:t>που</w:t>
            </w:r>
            <w:r w:rsidR="002A0261">
              <w:t xml:space="preserve"> </w:t>
            </w:r>
            <w:r w:rsidR="002A0261">
              <w:t>δεν</w:t>
            </w:r>
            <w:r w:rsidR="002A0261">
              <w:t xml:space="preserve"> </w:t>
            </w:r>
            <w:r w:rsidR="002A0261">
              <w:t>υπάγονται</w:t>
            </w:r>
            <w:r w:rsidR="002A0261">
              <w:t xml:space="preserve"> </w:t>
            </w:r>
            <w:r w:rsidR="002A0261">
              <w:t>στο</w:t>
            </w:r>
            <w:r w:rsidR="002A0261">
              <w:t xml:space="preserve"> </w:t>
            </w:r>
            <w:r w:rsidR="002A0261">
              <w:t>καθεστώς</w:t>
            </w:r>
            <w:r w:rsidR="002A0261">
              <w:t xml:space="preserve"> EPR</w:t>
            </w:r>
          </w:p>
        </w:tc>
        <w:tc>
          <w:tcPr>
            <w:tcW w:w="1170" w:type="dxa"/>
            <w:shd w:val="clear" w:color="auto" w:fill="D5E2BB"/>
          </w:tcPr>
          <w:p w14:paraId="098D7D11" w14:textId="77777777" w:rsidR="007B1A84" w:rsidRDefault="007B1A84" w:rsidP="003E0C33">
            <w:pPr>
              <w:pStyle w:val="TableParagraph"/>
              <w:spacing w:after="120"/>
              <w:rPr>
                <w:rFonts w:ascii="Arial"/>
                <w:b/>
                <w:sz w:val="17"/>
              </w:rPr>
            </w:pPr>
          </w:p>
          <w:p w14:paraId="1403B3D2" w14:textId="77777777" w:rsidR="007B1A84" w:rsidRDefault="002A0261" w:rsidP="003E0C33">
            <w:pPr>
              <w:pStyle w:val="P68B1DB1-TableParagraph28"/>
              <w:spacing w:after="120"/>
              <w:ind w:left="19" w:right="4"/>
              <w:jc w:val="center"/>
            </w:pPr>
            <w:r>
              <w:t>√</w:t>
            </w:r>
          </w:p>
        </w:tc>
        <w:tc>
          <w:tcPr>
            <w:tcW w:w="1746" w:type="dxa"/>
          </w:tcPr>
          <w:p w14:paraId="6D162D11" w14:textId="77777777" w:rsidR="007B1A84" w:rsidRDefault="007B1A84" w:rsidP="003E0C33">
            <w:pPr>
              <w:pStyle w:val="TableParagraph"/>
              <w:spacing w:after="120"/>
              <w:rPr>
                <w:rFonts w:ascii="Arial"/>
                <w:b/>
                <w:sz w:val="17"/>
              </w:rPr>
            </w:pPr>
          </w:p>
          <w:p w14:paraId="06CBE4B5" w14:textId="77777777" w:rsidR="007B1A84" w:rsidRDefault="002A0261" w:rsidP="003E0C33">
            <w:pPr>
              <w:pStyle w:val="P68B1DB1-TableParagraph28"/>
              <w:spacing w:after="120"/>
              <w:ind w:left="51" w:right="4"/>
              <w:jc w:val="center"/>
            </w:pPr>
            <w:r>
              <w:t>√</w:t>
            </w:r>
          </w:p>
        </w:tc>
        <w:tc>
          <w:tcPr>
            <w:tcW w:w="1810" w:type="dxa"/>
          </w:tcPr>
          <w:p w14:paraId="5711AD39" w14:textId="77777777" w:rsidR="007B1A84" w:rsidRDefault="007B1A84" w:rsidP="003E0C33">
            <w:pPr>
              <w:pStyle w:val="TableParagraph"/>
              <w:spacing w:after="120"/>
              <w:rPr>
                <w:rFonts w:ascii="Arial"/>
                <w:b/>
                <w:sz w:val="17"/>
              </w:rPr>
            </w:pPr>
          </w:p>
          <w:p w14:paraId="5C2F49C2" w14:textId="77777777" w:rsidR="007B1A84" w:rsidRDefault="002A0261" w:rsidP="003E0C33">
            <w:pPr>
              <w:pStyle w:val="P68B1DB1-TableParagraph28"/>
              <w:spacing w:after="120"/>
              <w:ind w:left="16"/>
              <w:jc w:val="center"/>
            </w:pPr>
            <w:r>
              <w:t>√</w:t>
            </w:r>
          </w:p>
        </w:tc>
        <w:tc>
          <w:tcPr>
            <w:tcW w:w="2499" w:type="dxa"/>
          </w:tcPr>
          <w:p w14:paraId="1D2D8074" w14:textId="77777777" w:rsidR="007B1A84" w:rsidRDefault="007B1A84" w:rsidP="003E0C33">
            <w:pPr>
              <w:pStyle w:val="TableParagraph"/>
              <w:spacing w:after="120"/>
              <w:rPr>
                <w:rFonts w:ascii="Arial"/>
                <w:b/>
                <w:sz w:val="17"/>
              </w:rPr>
            </w:pPr>
          </w:p>
          <w:p w14:paraId="75A5A7F9" w14:textId="77777777" w:rsidR="007B1A84" w:rsidRDefault="002A0261" w:rsidP="003E0C33">
            <w:pPr>
              <w:pStyle w:val="P68B1DB1-TableParagraph29"/>
              <w:spacing w:after="120"/>
              <w:ind w:left="33"/>
              <w:jc w:val="center"/>
            </w:pPr>
            <w:r>
              <w:t>α/α</w:t>
            </w:r>
          </w:p>
        </w:tc>
      </w:tr>
      <w:tr w:rsidR="007B1A84" w14:paraId="094B1232" w14:textId="77777777">
        <w:trPr>
          <w:trHeight w:val="733"/>
        </w:trPr>
        <w:tc>
          <w:tcPr>
            <w:tcW w:w="2147" w:type="dxa"/>
          </w:tcPr>
          <w:p w14:paraId="34920338" w14:textId="51605590" w:rsidR="007B1A84" w:rsidRDefault="003D6A92" w:rsidP="003D6A92">
            <w:pPr>
              <w:pStyle w:val="P68B1DB1-TableParagraph15"/>
              <w:spacing w:after="120"/>
              <w:ind w:left="118" w:right="103"/>
            </w:pPr>
            <w:r>
              <w:rPr>
                <w:lang w:val="el-GR"/>
              </w:rPr>
              <w:t>Χωριστά</w:t>
            </w:r>
            <w:r>
              <w:rPr>
                <w:lang w:val="el-GR"/>
              </w:rPr>
              <w:t xml:space="preserve"> </w:t>
            </w:r>
            <w:r>
              <w:rPr>
                <w:lang w:val="el-GR"/>
              </w:rPr>
              <w:t>συλλεγόμενα</w:t>
            </w:r>
            <w:r>
              <w:t xml:space="preserve"> </w:t>
            </w:r>
            <w:r w:rsidR="002A0261">
              <w:t>Ξηρά</w:t>
            </w:r>
            <w:r w:rsidR="002A0261">
              <w:t xml:space="preserve"> </w:t>
            </w:r>
            <w:r w:rsidR="002A0261">
              <w:t>ανακυκλώσιμα</w:t>
            </w:r>
            <w:r w:rsidR="002A0261">
              <w:t xml:space="preserve"> </w:t>
            </w:r>
            <w:r w:rsidR="002A0261">
              <w:t>στο</w:t>
            </w:r>
            <w:r w:rsidR="002A0261">
              <w:t xml:space="preserve"> </w:t>
            </w:r>
            <w:r w:rsidR="002A0261">
              <w:t>πλαίσιο</w:t>
            </w:r>
            <w:r w:rsidR="002A0261">
              <w:t xml:space="preserve"> </w:t>
            </w:r>
            <w:r w:rsidR="002A0261">
              <w:t>του</w:t>
            </w:r>
            <w:r w:rsidR="002A0261">
              <w:t xml:space="preserve"> EPR</w:t>
            </w:r>
          </w:p>
        </w:tc>
        <w:tc>
          <w:tcPr>
            <w:tcW w:w="1170" w:type="dxa"/>
          </w:tcPr>
          <w:p w14:paraId="6092394F" w14:textId="77777777" w:rsidR="007B1A84" w:rsidRDefault="007B1A84" w:rsidP="003E0C33">
            <w:pPr>
              <w:pStyle w:val="TableParagraph"/>
              <w:spacing w:after="120"/>
              <w:rPr>
                <w:rFonts w:ascii="Arial"/>
                <w:b/>
                <w:sz w:val="17"/>
              </w:rPr>
            </w:pPr>
          </w:p>
          <w:p w14:paraId="64AD6DDA" w14:textId="77777777" w:rsidR="007B1A84" w:rsidRDefault="002A0261" w:rsidP="003E0C33">
            <w:pPr>
              <w:pStyle w:val="P68B1DB1-TableParagraph29"/>
              <w:spacing w:after="120"/>
              <w:ind w:left="19" w:right="3"/>
              <w:jc w:val="center"/>
            </w:pPr>
            <w:r>
              <w:t>α/α</w:t>
            </w:r>
          </w:p>
        </w:tc>
        <w:tc>
          <w:tcPr>
            <w:tcW w:w="1746" w:type="dxa"/>
            <w:shd w:val="clear" w:color="auto" w:fill="D5E2BB"/>
          </w:tcPr>
          <w:p w14:paraId="6C5C4272" w14:textId="77777777" w:rsidR="007B1A84" w:rsidRDefault="007B1A84" w:rsidP="003E0C33">
            <w:pPr>
              <w:pStyle w:val="TableParagraph"/>
              <w:spacing w:after="120"/>
              <w:rPr>
                <w:rFonts w:ascii="Arial"/>
                <w:b/>
                <w:sz w:val="17"/>
              </w:rPr>
            </w:pPr>
          </w:p>
          <w:p w14:paraId="2A6E1217" w14:textId="77777777" w:rsidR="007B1A84" w:rsidRDefault="002A0261" w:rsidP="003E0C33">
            <w:pPr>
              <w:pStyle w:val="P68B1DB1-TableParagraph28"/>
              <w:spacing w:after="120"/>
              <w:ind w:left="51" w:right="4"/>
              <w:jc w:val="center"/>
            </w:pPr>
            <w:r>
              <w:t>√</w:t>
            </w:r>
          </w:p>
        </w:tc>
        <w:tc>
          <w:tcPr>
            <w:tcW w:w="1810" w:type="dxa"/>
          </w:tcPr>
          <w:p w14:paraId="5BB8CDCD" w14:textId="77777777" w:rsidR="007B1A84" w:rsidRDefault="007B1A84" w:rsidP="003E0C33">
            <w:pPr>
              <w:pStyle w:val="TableParagraph"/>
              <w:spacing w:after="120"/>
              <w:rPr>
                <w:rFonts w:ascii="Arial"/>
                <w:b/>
                <w:sz w:val="17"/>
              </w:rPr>
            </w:pPr>
          </w:p>
          <w:p w14:paraId="5BBC1C52" w14:textId="77777777" w:rsidR="007B1A84" w:rsidRDefault="002A0261" w:rsidP="003E0C33">
            <w:pPr>
              <w:pStyle w:val="P68B1DB1-TableParagraph28"/>
              <w:spacing w:after="120"/>
              <w:ind w:left="16"/>
              <w:jc w:val="center"/>
            </w:pPr>
            <w:r>
              <w:t>√</w:t>
            </w:r>
          </w:p>
        </w:tc>
        <w:tc>
          <w:tcPr>
            <w:tcW w:w="2499" w:type="dxa"/>
          </w:tcPr>
          <w:p w14:paraId="5A975060" w14:textId="77777777" w:rsidR="007B1A84" w:rsidRDefault="007B1A84" w:rsidP="003E0C33">
            <w:pPr>
              <w:pStyle w:val="TableParagraph"/>
              <w:spacing w:after="120"/>
              <w:rPr>
                <w:rFonts w:ascii="Arial"/>
                <w:b/>
                <w:sz w:val="17"/>
              </w:rPr>
            </w:pPr>
          </w:p>
          <w:p w14:paraId="79F363DD" w14:textId="77777777" w:rsidR="007B1A84" w:rsidRDefault="002A0261" w:rsidP="003E0C33">
            <w:pPr>
              <w:pStyle w:val="P68B1DB1-TableParagraph29"/>
              <w:spacing w:after="120"/>
              <w:ind w:left="33"/>
              <w:jc w:val="center"/>
            </w:pPr>
            <w:r>
              <w:t>α/α</w:t>
            </w:r>
          </w:p>
        </w:tc>
      </w:tr>
      <w:tr w:rsidR="007B1A84" w14:paraId="5942ED76" w14:textId="77777777">
        <w:trPr>
          <w:trHeight w:val="941"/>
        </w:trPr>
        <w:tc>
          <w:tcPr>
            <w:tcW w:w="2147" w:type="dxa"/>
          </w:tcPr>
          <w:p w14:paraId="2005B3D9" w14:textId="25DFB36F" w:rsidR="007B1A84" w:rsidRDefault="003D6A92" w:rsidP="003D6A92">
            <w:pPr>
              <w:pStyle w:val="P68B1DB1-TableParagraph15"/>
              <w:spacing w:after="120"/>
              <w:ind w:left="118" w:right="103"/>
            </w:pPr>
            <w:r>
              <w:rPr>
                <w:lang w:val="el-GR"/>
              </w:rPr>
              <w:t>Υπολείμματα</w:t>
            </w:r>
            <w:r w:rsidR="002A0261">
              <w:t xml:space="preserve"> </w:t>
            </w:r>
            <w:r w:rsidR="002A0261">
              <w:t>από</w:t>
            </w:r>
            <w:r w:rsidR="002A0261">
              <w:t xml:space="preserve"> </w:t>
            </w:r>
            <w:r w:rsidR="002A0261">
              <w:t>τη</w:t>
            </w:r>
            <w:r w:rsidR="002A0261">
              <w:t xml:space="preserve"> </w:t>
            </w:r>
            <w:r w:rsidR="002A0261">
              <w:t>διαλογή</w:t>
            </w:r>
            <w:r w:rsidR="002A0261">
              <w:t xml:space="preserve"> </w:t>
            </w:r>
            <w:r w:rsidR="002A0261">
              <w:t>των</w:t>
            </w:r>
            <w:r w:rsidR="002A0261">
              <w:t xml:space="preserve"> </w:t>
            </w:r>
            <w:r w:rsidR="002A0261">
              <w:t>χωριστά</w:t>
            </w:r>
            <w:r w:rsidR="002A0261">
              <w:t xml:space="preserve"> </w:t>
            </w:r>
            <w:r w:rsidR="002A0261">
              <w:t>συλλεγόμενων</w:t>
            </w:r>
            <w:r w:rsidR="002A0261">
              <w:t xml:space="preserve"> </w:t>
            </w:r>
            <w:r w:rsidR="002A0261">
              <w:t>αστικών</w:t>
            </w:r>
            <w:r w:rsidR="002A0261">
              <w:t xml:space="preserve"> </w:t>
            </w:r>
            <w:r w:rsidR="002A0261">
              <w:t>αποβλήτων</w:t>
            </w:r>
          </w:p>
        </w:tc>
        <w:tc>
          <w:tcPr>
            <w:tcW w:w="1170" w:type="dxa"/>
            <w:shd w:val="clear" w:color="auto" w:fill="D5E2BB"/>
          </w:tcPr>
          <w:p w14:paraId="15D161B4" w14:textId="77777777" w:rsidR="007B1A84" w:rsidRDefault="007B1A84" w:rsidP="003E0C33">
            <w:pPr>
              <w:pStyle w:val="TableParagraph"/>
              <w:spacing w:after="120"/>
              <w:rPr>
                <w:rFonts w:ascii="Arial"/>
                <w:b/>
                <w:sz w:val="17"/>
              </w:rPr>
            </w:pPr>
          </w:p>
          <w:p w14:paraId="1C9DF003" w14:textId="77777777" w:rsidR="007B1A84" w:rsidRDefault="002A0261" w:rsidP="003E0C33">
            <w:pPr>
              <w:pStyle w:val="P68B1DB1-TableParagraph28"/>
              <w:spacing w:after="120"/>
              <w:ind w:left="19"/>
              <w:jc w:val="center"/>
            </w:pPr>
            <w:r>
              <w:t>√*</w:t>
            </w:r>
          </w:p>
        </w:tc>
        <w:tc>
          <w:tcPr>
            <w:tcW w:w="1746" w:type="dxa"/>
            <w:shd w:val="clear" w:color="auto" w:fill="D5E2BB"/>
          </w:tcPr>
          <w:p w14:paraId="720D70B6" w14:textId="77777777" w:rsidR="007B1A84" w:rsidRDefault="007B1A84" w:rsidP="003E0C33">
            <w:pPr>
              <w:pStyle w:val="TableParagraph"/>
              <w:spacing w:after="120"/>
              <w:rPr>
                <w:rFonts w:ascii="Arial"/>
                <w:b/>
                <w:sz w:val="17"/>
              </w:rPr>
            </w:pPr>
          </w:p>
          <w:p w14:paraId="08A9FD37" w14:textId="77777777" w:rsidR="007B1A84" w:rsidRDefault="002A0261" w:rsidP="003E0C33">
            <w:pPr>
              <w:pStyle w:val="P68B1DB1-TableParagraph28"/>
              <w:spacing w:after="120"/>
              <w:ind w:left="51"/>
              <w:jc w:val="center"/>
            </w:pPr>
            <w:r>
              <w:t>√*</w:t>
            </w:r>
          </w:p>
        </w:tc>
        <w:tc>
          <w:tcPr>
            <w:tcW w:w="1810" w:type="dxa"/>
          </w:tcPr>
          <w:p w14:paraId="7C63EDA2" w14:textId="77777777" w:rsidR="007B1A84" w:rsidRDefault="007B1A84" w:rsidP="003E0C33">
            <w:pPr>
              <w:pStyle w:val="TableParagraph"/>
              <w:spacing w:after="120"/>
              <w:rPr>
                <w:rFonts w:ascii="Arial"/>
                <w:b/>
                <w:sz w:val="17"/>
              </w:rPr>
            </w:pPr>
          </w:p>
          <w:p w14:paraId="20A06B12" w14:textId="77777777" w:rsidR="007B1A84" w:rsidRDefault="002A0261" w:rsidP="003E0C33">
            <w:pPr>
              <w:pStyle w:val="P68B1DB1-TableParagraph28"/>
              <w:spacing w:after="120"/>
              <w:ind w:left="16"/>
              <w:jc w:val="center"/>
            </w:pPr>
            <w:r>
              <w:t>√</w:t>
            </w:r>
          </w:p>
        </w:tc>
        <w:tc>
          <w:tcPr>
            <w:tcW w:w="2499" w:type="dxa"/>
          </w:tcPr>
          <w:p w14:paraId="453857E6" w14:textId="77777777" w:rsidR="007B1A84" w:rsidRDefault="007B1A84" w:rsidP="003E0C33">
            <w:pPr>
              <w:pStyle w:val="TableParagraph"/>
              <w:spacing w:after="120"/>
              <w:rPr>
                <w:rFonts w:ascii="Arial"/>
                <w:b/>
                <w:sz w:val="17"/>
              </w:rPr>
            </w:pPr>
          </w:p>
          <w:p w14:paraId="1D90DB8A" w14:textId="77777777" w:rsidR="007B1A84" w:rsidRDefault="002A0261" w:rsidP="003E0C33">
            <w:pPr>
              <w:pStyle w:val="P68B1DB1-TableParagraph29"/>
              <w:spacing w:after="120"/>
              <w:ind w:left="33"/>
              <w:jc w:val="center"/>
            </w:pPr>
            <w:r>
              <w:t>α/α</w:t>
            </w:r>
          </w:p>
        </w:tc>
      </w:tr>
      <w:tr w:rsidR="007B1A84" w14:paraId="69D1D0EF" w14:textId="77777777">
        <w:trPr>
          <w:trHeight w:val="524"/>
        </w:trPr>
        <w:tc>
          <w:tcPr>
            <w:tcW w:w="2147" w:type="dxa"/>
          </w:tcPr>
          <w:p w14:paraId="779CA7C6" w14:textId="30F4964B" w:rsidR="007B1A84" w:rsidRDefault="003D6A92" w:rsidP="003E0C33">
            <w:pPr>
              <w:pStyle w:val="P68B1DB1-TableParagraph15"/>
              <w:spacing w:after="120"/>
              <w:ind w:left="118" w:right="370"/>
            </w:pPr>
            <w:r>
              <w:rPr>
                <w:lang w:val="el-GR"/>
              </w:rPr>
              <w:t>Χωριστά</w:t>
            </w:r>
            <w:r>
              <w:rPr>
                <w:lang w:val="el-GR"/>
              </w:rPr>
              <w:t xml:space="preserve"> </w:t>
            </w:r>
            <w:r>
              <w:rPr>
                <w:lang w:val="el-GR"/>
              </w:rPr>
              <w:t>συλλεγόμενα</w:t>
            </w:r>
            <w:r>
              <w:t xml:space="preserve"> </w:t>
            </w:r>
            <w:r w:rsidR="00630320">
              <w:rPr>
                <w:lang w:val="el-GR"/>
              </w:rPr>
              <w:t>δημοτικά</w:t>
            </w:r>
            <w:r w:rsidR="00630320">
              <w:rPr>
                <w:lang w:val="el-GR"/>
              </w:rPr>
              <w:t xml:space="preserve"> </w:t>
            </w:r>
            <w:r w:rsidR="002A0261">
              <w:t>βιολογικά</w:t>
            </w:r>
            <w:r w:rsidR="002A0261">
              <w:t xml:space="preserve"> </w:t>
            </w:r>
            <w:r w:rsidR="002A0261">
              <w:t>απόβλητα</w:t>
            </w:r>
            <w:r w:rsidR="002A0261">
              <w:t xml:space="preserve"> MC</w:t>
            </w:r>
          </w:p>
        </w:tc>
        <w:tc>
          <w:tcPr>
            <w:tcW w:w="1170" w:type="dxa"/>
            <w:shd w:val="clear" w:color="auto" w:fill="D5E2BB"/>
          </w:tcPr>
          <w:p w14:paraId="4FDD43F3" w14:textId="77777777" w:rsidR="007B1A84" w:rsidRDefault="002A0261" w:rsidP="003E0C33">
            <w:pPr>
              <w:pStyle w:val="P68B1DB1-TableParagraph28"/>
              <w:spacing w:after="120"/>
              <w:ind w:left="19" w:right="4"/>
              <w:jc w:val="center"/>
            </w:pPr>
            <w:r>
              <w:t>√</w:t>
            </w:r>
          </w:p>
        </w:tc>
        <w:tc>
          <w:tcPr>
            <w:tcW w:w="1746" w:type="dxa"/>
          </w:tcPr>
          <w:p w14:paraId="7684A634" w14:textId="77777777" w:rsidR="007B1A84" w:rsidRDefault="002A0261" w:rsidP="003E0C33">
            <w:pPr>
              <w:pStyle w:val="P68B1DB1-TableParagraph28"/>
              <w:spacing w:after="120"/>
              <w:ind w:left="51" w:right="4"/>
              <w:jc w:val="center"/>
            </w:pPr>
            <w:r>
              <w:t>√</w:t>
            </w:r>
          </w:p>
        </w:tc>
        <w:tc>
          <w:tcPr>
            <w:tcW w:w="1810" w:type="dxa"/>
          </w:tcPr>
          <w:p w14:paraId="59E90C6E" w14:textId="77777777" w:rsidR="007B1A84" w:rsidRDefault="002A0261" w:rsidP="003E0C33">
            <w:pPr>
              <w:pStyle w:val="P68B1DB1-TableParagraph28"/>
              <w:spacing w:after="120"/>
              <w:ind w:left="16"/>
              <w:jc w:val="center"/>
            </w:pPr>
            <w:r>
              <w:t>√</w:t>
            </w:r>
          </w:p>
        </w:tc>
        <w:tc>
          <w:tcPr>
            <w:tcW w:w="2499" w:type="dxa"/>
          </w:tcPr>
          <w:p w14:paraId="5C8EB565" w14:textId="77777777" w:rsidR="007B1A84" w:rsidRDefault="002A0261" w:rsidP="003E0C33">
            <w:pPr>
              <w:pStyle w:val="P68B1DB1-TableParagraph29"/>
              <w:spacing w:after="120"/>
              <w:ind w:left="33"/>
              <w:jc w:val="center"/>
            </w:pPr>
            <w:r>
              <w:t>α/α</w:t>
            </w:r>
          </w:p>
        </w:tc>
      </w:tr>
      <w:tr w:rsidR="007B1A84" w14:paraId="48F37288" w14:textId="77777777">
        <w:trPr>
          <w:trHeight w:val="524"/>
        </w:trPr>
        <w:tc>
          <w:tcPr>
            <w:tcW w:w="2147" w:type="dxa"/>
          </w:tcPr>
          <w:p w14:paraId="31495A95" w14:textId="77777777" w:rsidR="007B1A84" w:rsidRDefault="002A0261" w:rsidP="003E0C33">
            <w:pPr>
              <w:pStyle w:val="P68B1DB1-TableParagraph15"/>
              <w:spacing w:after="120"/>
              <w:ind w:left="118" w:right="370"/>
            </w:pPr>
            <w:r>
              <w:t>Άλλα</w:t>
            </w:r>
            <w:r>
              <w:t xml:space="preserve"> </w:t>
            </w:r>
            <w:r>
              <w:t>απόβλητα</w:t>
            </w:r>
            <w:r>
              <w:t>/</w:t>
            </w:r>
            <w:r>
              <w:t>Μη</w:t>
            </w:r>
            <w:r>
              <w:t xml:space="preserve"> </w:t>
            </w:r>
            <w:r>
              <w:t>αστικά</w:t>
            </w:r>
            <w:r>
              <w:t xml:space="preserve"> </w:t>
            </w:r>
            <w:r>
              <w:t>απόβλητα</w:t>
            </w:r>
          </w:p>
        </w:tc>
        <w:tc>
          <w:tcPr>
            <w:tcW w:w="1170" w:type="dxa"/>
          </w:tcPr>
          <w:p w14:paraId="6624E656" w14:textId="77777777" w:rsidR="007B1A84" w:rsidRDefault="002A0261" w:rsidP="003E0C33">
            <w:pPr>
              <w:pStyle w:val="P68B1DB1-TableParagraph29"/>
              <w:spacing w:after="120"/>
              <w:ind w:left="19" w:right="3"/>
              <w:jc w:val="center"/>
            </w:pPr>
            <w:r>
              <w:t>α/α</w:t>
            </w:r>
          </w:p>
        </w:tc>
        <w:tc>
          <w:tcPr>
            <w:tcW w:w="1746" w:type="dxa"/>
            <w:shd w:val="clear" w:color="auto" w:fill="D5E2BB"/>
          </w:tcPr>
          <w:p w14:paraId="30A553C6" w14:textId="77777777" w:rsidR="007B1A84" w:rsidRDefault="002A0261" w:rsidP="003E0C33">
            <w:pPr>
              <w:pStyle w:val="P68B1DB1-TableParagraph28"/>
              <w:spacing w:after="120"/>
              <w:ind w:left="51" w:right="4"/>
              <w:jc w:val="center"/>
            </w:pPr>
            <w:r>
              <w:t>√</w:t>
            </w:r>
          </w:p>
        </w:tc>
        <w:tc>
          <w:tcPr>
            <w:tcW w:w="1810" w:type="dxa"/>
          </w:tcPr>
          <w:p w14:paraId="518BA74C" w14:textId="77777777" w:rsidR="007B1A84" w:rsidRDefault="002A0261" w:rsidP="003E0C33">
            <w:pPr>
              <w:pStyle w:val="P68B1DB1-TableParagraph28"/>
              <w:spacing w:after="120"/>
              <w:ind w:left="16"/>
              <w:jc w:val="center"/>
            </w:pPr>
            <w:r>
              <w:t>√</w:t>
            </w:r>
          </w:p>
        </w:tc>
        <w:tc>
          <w:tcPr>
            <w:tcW w:w="2499" w:type="dxa"/>
          </w:tcPr>
          <w:p w14:paraId="759DFCAD" w14:textId="77777777" w:rsidR="007B1A84" w:rsidRDefault="002A0261" w:rsidP="003E0C33">
            <w:pPr>
              <w:pStyle w:val="P68B1DB1-TableParagraph29"/>
              <w:spacing w:after="120"/>
              <w:ind w:left="33"/>
              <w:jc w:val="center"/>
            </w:pPr>
            <w:r>
              <w:t>α/α</w:t>
            </w:r>
          </w:p>
        </w:tc>
      </w:tr>
    </w:tbl>
    <w:p w14:paraId="3E7DA4A5" w14:textId="57426B9F" w:rsidR="007B1A84" w:rsidRDefault="002A0261" w:rsidP="003E0C33">
      <w:pPr>
        <w:pStyle w:val="BodyText"/>
        <w:spacing w:after="120"/>
        <w:ind w:left="393"/>
      </w:pPr>
      <w:r>
        <w:t xml:space="preserve">* κατά περίπτωση εξαρτώμενη από </w:t>
      </w:r>
      <w:r w:rsidR="00D475A8">
        <w:rPr>
          <w:lang w:val="el-GR"/>
        </w:rPr>
        <w:t>το</w:t>
      </w:r>
      <w:r>
        <w:t xml:space="preserve"> αρχικ</w:t>
      </w:r>
      <w:r w:rsidR="00D475A8">
        <w:rPr>
          <w:lang w:val="el-GR"/>
        </w:rPr>
        <w:t>ό ρεύμα</w:t>
      </w:r>
      <w:r>
        <w:t xml:space="preserve"> αποβλήτων (δημοτική/EPR)</w:t>
      </w:r>
    </w:p>
    <w:p w14:paraId="75223497" w14:textId="77777777" w:rsidR="007B1A84" w:rsidRDefault="007B1A84" w:rsidP="003E0C33">
      <w:pPr>
        <w:pStyle w:val="BodyText"/>
        <w:spacing w:after="120"/>
      </w:pPr>
    </w:p>
    <w:p w14:paraId="3C487F37" w14:textId="5E2B9CF0" w:rsidR="007B1A84" w:rsidRDefault="002A0261" w:rsidP="003E0C33">
      <w:pPr>
        <w:pStyle w:val="BodyText"/>
        <w:spacing w:after="120"/>
        <w:ind w:left="25" w:right="425"/>
        <w:jc w:val="both"/>
      </w:pPr>
      <w:r>
        <w:t xml:space="preserve">Οι </w:t>
      </w:r>
      <w:r w:rsidR="00867EF4">
        <w:rPr>
          <w:lang w:val="el-GR"/>
        </w:rPr>
        <w:t>προτάσεις</w:t>
      </w:r>
      <w:r>
        <w:t xml:space="preserve"> της </w:t>
      </w:r>
      <w:r w:rsidR="00F000B6">
        <w:rPr>
          <w:lang w:val="el-GR"/>
        </w:rPr>
        <w:t xml:space="preserve">ομάδας </w:t>
      </w:r>
      <w:r>
        <w:t xml:space="preserve">Jaspers σχετικά με τους βέλτιστους στόχους κρατικών ενισχύσεων για την επεξεργασία των διαφόρων </w:t>
      </w:r>
      <w:r w:rsidR="00867EF4">
        <w:rPr>
          <w:lang w:val="el-GR"/>
        </w:rPr>
        <w:t>ρευμάτων</w:t>
      </w:r>
      <w:r>
        <w:t xml:space="preserve"> αποβλήτων </w:t>
      </w:r>
      <w:r w:rsidR="00867EF4">
        <w:rPr>
          <w:lang w:val="el-GR"/>
        </w:rPr>
        <w:t>στις</w:t>
      </w:r>
      <w:r>
        <w:t xml:space="preserve"> ΜΑΑ επισημαίνονται με πράσινο χρώμα στον ανωτέρω πίνακα 10, ενώ σημειώνεται ότι το άρθρο 47 μπορεί επίσης να εφαρμοστεί.</w:t>
      </w:r>
    </w:p>
    <w:p w14:paraId="2CC0B50D" w14:textId="77777777" w:rsidR="007B1A84" w:rsidRDefault="007B1A84" w:rsidP="003E0C33">
      <w:pPr>
        <w:pStyle w:val="BodyText"/>
        <w:spacing w:after="120"/>
      </w:pPr>
    </w:p>
    <w:p w14:paraId="77EE86F7" w14:textId="25B15C5C" w:rsidR="007B1A84" w:rsidRDefault="002A0261" w:rsidP="003E0C33">
      <w:pPr>
        <w:pStyle w:val="Heading2"/>
        <w:numPr>
          <w:ilvl w:val="0"/>
          <w:numId w:val="40"/>
        </w:numPr>
        <w:tabs>
          <w:tab w:val="left" w:pos="391"/>
          <w:tab w:val="left" w:pos="393"/>
        </w:tabs>
        <w:spacing w:after="120"/>
        <w:ind w:left="393" w:right="430" w:hanging="369"/>
        <w:jc w:val="both"/>
        <w:rPr>
          <w:color w:val="F16421"/>
        </w:rPr>
      </w:pPr>
      <w:bookmarkStart w:id="26" w:name="_bookmark63"/>
      <w:bookmarkEnd w:id="26"/>
      <w:r>
        <w:t>Συνδυασμός διαφορετικών στόχων κρατικών ενισχύσεων σε περίπτωση υποδομής</w:t>
      </w:r>
      <w:r w:rsidR="002964DA">
        <w:rPr>
          <w:lang w:val="el-GR"/>
        </w:rPr>
        <w:t xml:space="preserve"> που δεν μπορεί να διαχωρισθεί</w:t>
      </w:r>
    </w:p>
    <w:p w14:paraId="14BCAA5E" w14:textId="77777777" w:rsidR="007B1A84" w:rsidRDefault="002A0261" w:rsidP="003E0C33">
      <w:pPr>
        <w:pStyle w:val="P68B1DB1-a58"/>
        <w:numPr>
          <w:ilvl w:val="0"/>
          <w:numId w:val="20"/>
        </w:numPr>
        <w:tabs>
          <w:tab w:val="left" w:pos="393"/>
          <w:tab w:val="left" w:pos="743"/>
        </w:tabs>
        <w:spacing w:after="120"/>
        <w:ind w:right="412" w:hanging="369"/>
      </w:pPr>
      <w:r>
        <w:t>Όταν η ίδια εγκατάσταση δεν μπορεί να διαχωριστεί τεχνικά και λειτουργικά για διαφορετικές εργασίες (επεξεργασία διαφορετικών τύπων αποβλήτων) ή ο διαχωρισμός των δραστηριοτήτων δεν δικαιολογείται από οικονομική άποψη, το ποσοστό της χρήσης της ίδιας εγκατάστασης για διαφορετικές δραστηριότητες πρέπει να καθορίζεται με σκοπό την ορθή εφαρμογή διαφορετικών κανόνων για τις κρατικές ενισχύσεις σε κάθε δραστηριότητα. Απαιτείται εκτίμηση του ποσοστού χρήσης της ίδιας υποδομής/εξοπλισμού για τους διάφορους τομείς δραστηριότητας για τον καθορισμό του πεδίου εφαρμογής των διαφόρων στόχων για τις κρατικές ενισχύσεις (ΥΓΟΣ και άλλοι που αναλύονται στο παρόν καθοδηγητικό σημείωμα). Βλ. παράδειγμα που παρέχεται στον πίνακα 11.</w:t>
      </w:r>
    </w:p>
    <w:p w14:paraId="144D9C93" w14:textId="77777777" w:rsidR="007B1A84" w:rsidRDefault="002A0261" w:rsidP="007C0D04">
      <w:pPr>
        <w:pStyle w:val="P68B1DB1-a12"/>
        <w:spacing w:after="120"/>
        <w:ind w:left="25" w:right="429"/>
        <w:jc w:val="both"/>
      </w:pPr>
      <w:r>
        <w:lastRenderedPageBreak/>
        <w:t>Πίνακας</w:t>
      </w:r>
      <w:r>
        <w:t xml:space="preserve"> 11: </w:t>
      </w:r>
      <w:r>
        <w:t>Εφαρμογή</w:t>
      </w:r>
      <w:r>
        <w:t xml:space="preserve"> </w:t>
      </w:r>
      <w:r>
        <w:t>των</w:t>
      </w:r>
      <w:r>
        <w:t xml:space="preserve"> </w:t>
      </w:r>
      <w:r>
        <w:t>κανόνων</w:t>
      </w:r>
      <w:r>
        <w:t xml:space="preserve"> </w:t>
      </w:r>
      <w:r>
        <w:t>για</w:t>
      </w:r>
      <w:r>
        <w:t xml:space="preserve"> </w:t>
      </w:r>
      <w:r>
        <w:t>τις</w:t>
      </w:r>
      <w:r>
        <w:t xml:space="preserve"> </w:t>
      </w:r>
      <w:r>
        <w:t>κρατικές</w:t>
      </w:r>
      <w:r>
        <w:t xml:space="preserve"> </w:t>
      </w:r>
      <w:r>
        <w:t>ενισχύσεις</w:t>
      </w:r>
      <w:r>
        <w:t xml:space="preserve"> </w:t>
      </w:r>
      <w:r>
        <w:t>όταν</w:t>
      </w:r>
      <w:r>
        <w:t xml:space="preserve"> </w:t>
      </w:r>
      <w:r>
        <w:t>χρησιμοποιείται</w:t>
      </w:r>
      <w:r>
        <w:t xml:space="preserve"> </w:t>
      </w:r>
      <w:r>
        <w:t>μείγμα</w:t>
      </w:r>
      <w:r>
        <w:t xml:space="preserve"> </w:t>
      </w:r>
      <w:r>
        <w:t>στόχων</w:t>
      </w:r>
      <w:r>
        <w:t xml:space="preserve"> </w:t>
      </w:r>
      <w:r>
        <w:t>κρατικών</w:t>
      </w:r>
      <w:r>
        <w:t xml:space="preserve"> </w:t>
      </w:r>
      <w:r>
        <w:t>ενισχύσεων</w:t>
      </w:r>
      <w:r>
        <w:t xml:space="preserve"> (</w:t>
      </w:r>
      <w:r>
        <w:t>παράδειγμα</w:t>
      </w:r>
      <w:r>
        <w:t>)</w:t>
      </w:r>
    </w:p>
    <w:tbl>
      <w:tblPr>
        <w:tblStyle w:val="TableNormal1"/>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34"/>
        <w:gridCol w:w="4518"/>
      </w:tblGrid>
      <w:tr w:rsidR="007B1A84" w14:paraId="699A4ECC" w14:textId="77777777" w:rsidTr="007C0D04">
        <w:trPr>
          <w:trHeight w:val="316"/>
        </w:trPr>
        <w:tc>
          <w:tcPr>
            <w:tcW w:w="9052" w:type="dxa"/>
            <w:gridSpan w:val="2"/>
            <w:shd w:val="clear" w:color="auto" w:fill="FAD3B4"/>
            <w:vAlign w:val="center"/>
          </w:tcPr>
          <w:p w14:paraId="3F137C74" w14:textId="77777777" w:rsidR="007B1A84" w:rsidRDefault="002A0261" w:rsidP="007C0D04">
            <w:pPr>
              <w:pStyle w:val="P68B1DB1-TableParagraph15"/>
              <w:spacing w:after="120"/>
              <w:ind w:left="11"/>
              <w:jc w:val="center"/>
            </w:pPr>
            <w:r>
              <w:t>Συνδυασμός</w:t>
            </w:r>
            <w:r>
              <w:t xml:space="preserve"> </w:t>
            </w:r>
            <w:r>
              <w:t>υπηρεσιών</w:t>
            </w:r>
            <w:r>
              <w:t xml:space="preserve">: </w:t>
            </w:r>
            <w:r>
              <w:t>ΥΓΟΣ</w:t>
            </w:r>
            <w:r>
              <w:t xml:space="preserve"> &amp; </w:t>
            </w:r>
            <w:r>
              <w:t>Λοιπές</w:t>
            </w:r>
            <w:r>
              <w:t xml:space="preserve"> </w:t>
            </w:r>
            <w:r>
              <w:t>Υπηρεσίες</w:t>
            </w:r>
          </w:p>
        </w:tc>
      </w:tr>
      <w:tr w:rsidR="007B1A84" w14:paraId="42E78D38" w14:textId="77777777" w:rsidTr="007C0D04">
        <w:trPr>
          <w:trHeight w:val="588"/>
        </w:trPr>
        <w:tc>
          <w:tcPr>
            <w:tcW w:w="4534" w:type="dxa"/>
            <w:shd w:val="clear" w:color="auto" w:fill="FAD3B4"/>
            <w:vAlign w:val="center"/>
          </w:tcPr>
          <w:p w14:paraId="771FD035" w14:textId="77777777" w:rsidR="007B1A84" w:rsidRDefault="002A0261" w:rsidP="007C0D04">
            <w:pPr>
              <w:pStyle w:val="P68B1DB1-TableParagraph15"/>
              <w:spacing w:after="120"/>
              <w:ind w:left="8"/>
              <w:jc w:val="center"/>
            </w:pPr>
            <w:r>
              <w:t>ΥΓΟΣ</w:t>
            </w:r>
            <w:r>
              <w:t xml:space="preserve"> [95</w:t>
            </w:r>
            <w:r>
              <w:t> </w:t>
            </w:r>
            <w:r>
              <w:t>%]</w:t>
            </w:r>
          </w:p>
        </w:tc>
        <w:tc>
          <w:tcPr>
            <w:tcW w:w="4518" w:type="dxa"/>
            <w:shd w:val="clear" w:color="auto" w:fill="FAD3B4"/>
            <w:vAlign w:val="center"/>
          </w:tcPr>
          <w:p w14:paraId="1A83873A" w14:textId="77777777" w:rsidR="007B1A84" w:rsidRDefault="002A0261" w:rsidP="007C0D04">
            <w:pPr>
              <w:pStyle w:val="P68B1DB1-TableParagraph15"/>
              <w:spacing w:after="120"/>
              <w:ind w:left="523" w:right="1007"/>
              <w:jc w:val="center"/>
            </w:pPr>
            <w:r>
              <w:t>Άλλες</w:t>
            </w:r>
            <w:r>
              <w:t xml:space="preserve"> </w:t>
            </w:r>
            <w:r>
              <w:t>υπηρεσίες</w:t>
            </w:r>
            <w:r>
              <w:t xml:space="preserve"> [5</w:t>
            </w:r>
            <w:r>
              <w:t> </w:t>
            </w:r>
            <w:r>
              <w:t xml:space="preserve">%] </w:t>
            </w:r>
            <w:r>
              <w:t>π</w:t>
            </w:r>
            <w:r>
              <w:t>.</w:t>
            </w:r>
            <w:r>
              <w:t>χ</w:t>
            </w:r>
            <w:r>
              <w:t xml:space="preserve">. </w:t>
            </w:r>
            <w:r>
              <w:t>περιφερειακές</w:t>
            </w:r>
            <w:r>
              <w:t xml:space="preserve"> </w:t>
            </w:r>
            <w:r>
              <w:t>επενδυτικές</w:t>
            </w:r>
            <w:r>
              <w:t xml:space="preserve"> </w:t>
            </w:r>
            <w:r>
              <w:t>ενισχύσεις</w:t>
            </w:r>
          </w:p>
        </w:tc>
      </w:tr>
      <w:tr w:rsidR="009473E7" w14:paraId="0FA25732" w14:textId="77777777" w:rsidTr="00863E47">
        <w:trPr>
          <w:trHeight w:val="6815"/>
        </w:trPr>
        <w:tc>
          <w:tcPr>
            <w:tcW w:w="4534" w:type="dxa"/>
            <w:vAlign w:val="center"/>
          </w:tcPr>
          <w:p w14:paraId="48216C51" w14:textId="13D61BDF" w:rsidR="009473E7" w:rsidRDefault="009473E7" w:rsidP="007C0D04">
            <w:pPr>
              <w:pStyle w:val="P68B1DB1-TableParagraph13"/>
              <w:spacing w:after="120"/>
              <w:ind w:left="118" w:right="89"/>
            </w:pPr>
            <w:r>
              <w:t>Οι επιλέξιμες δαπάνες είναι το καθαρό κόστος που συνδέεται με την παροχή της επιφορτισμένης ΥΓΟΣ (</w:t>
            </w:r>
            <w:r>
              <w:rPr>
                <w:lang w:val="el-GR"/>
              </w:rPr>
              <w:t>λειτουργικές</w:t>
            </w:r>
            <w:r>
              <w:t xml:space="preserve"> δαπάνες και επενδυτικές δαπάνες, όπου απαιτείται), στο οποίο μπορεί να προστεθεί εύλογο κέρδος</w:t>
            </w:r>
          </w:p>
          <w:p w14:paraId="7A90C3B3" w14:textId="77777777" w:rsidR="009473E7" w:rsidRDefault="009473E7" w:rsidP="007C0D04">
            <w:pPr>
              <w:pStyle w:val="P68B1DB1-TableParagraph13"/>
              <w:spacing w:after="120"/>
              <w:ind w:left="118" w:right="89"/>
            </w:pPr>
            <w:r>
              <w:t>Η μέθοδος υπολογισμού του κενού χρηματοδότησης μπορεί να χρησιμοποιηθεί για τον υπολογισμό της δημόσιας στήριξης που συνδέεται με επενδύσεις για το ποσοστό των δαπανών που αποδίδονται στις ΥΓΟΣ.</w:t>
            </w:r>
          </w:p>
          <w:p w14:paraId="1EB0AE21" w14:textId="77777777" w:rsidR="009473E7" w:rsidRDefault="009473E7" w:rsidP="003E0C33">
            <w:pPr>
              <w:pStyle w:val="P68B1DB1-TableParagraph13"/>
              <w:spacing w:after="120"/>
              <w:ind w:left="118" w:right="95"/>
              <w:jc w:val="both"/>
            </w:pPr>
            <w:r>
              <w:t>Οι υπερβάλλουσες αντισταθμίσεις ΥΓΟΣ που καταβλήθηκαν κατά τη διάρκεια της περιόδου ανάθεσης ΥΓΟΣ παρακολουθούνται και ανακτώνται ως παράνομη κρατική ενίσχυση.</w:t>
            </w:r>
          </w:p>
          <w:p w14:paraId="45454A80" w14:textId="7B14E474" w:rsidR="009473E7" w:rsidRDefault="009473E7" w:rsidP="003E0C33">
            <w:pPr>
              <w:pStyle w:val="P68B1DB1-TableParagraph13"/>
              <w:spacing w:after="120"/>
              <w:ind w:left="118" w:right="85"/>
              <w:jc w:val="both"/>
            </w:pPr>
            <w:r>
              <w:t>Απαιτείται ανάκτηση πλεοναζόντων κερδών που συνδέονται με επενδύσεις. Οι υπερβάλλουσες αντισταθμίσεις ΥΓΟΣ που συνδέονται με επενδύσεις πρέπει να επιστραφούν στο τέλος της ωφέλιμης ζωής του περιουσιακού στοιχείου (περίοδος απόσβεσης ή περίοδος ανάθεσης, εάν η τελευταία είναι συντομότερη).</w:t>
            </w:r>
          </w:p>
        </w:tc>
        <w:tc>
          <w:tcPr>
            <w:tcW w:w="4518" w:type="dxa"/>
            <w:vAlign w:val="center"/>
          </w:tcPr>
          <w:p w14:paraId="0E47D9A2" w14:textId="77777777" w:rsidR="009473E7" w:rsidRDefault="009473E7" w:rsidP="007C0D04">
            <w:pPr>
              <w:pStyle w:val="P68B1DB1-TableParagraph13"/>
              <w:spacing w:after="120"/>
              <w:ind w:left="102" w:right="24"/>
            </w:pPr>
            <w:r>
              <w:t>Οι επιλέξιμες δαπάνες είναι δαπάνες που συνδέονται με αρχικές επενδύσεις σε υλικά και άυλα στοιχεία ενεργητικού που στοχεύουν:</w:t>
            </w:r>
          </w:p>
          <w:p w14:paraId="7574DA1D" w14:textId="77777777" w:rsidR="009473E7" w:rsidRDefault="009473E7" w:rsidP="007C0D04">
            <w:pPr>
              <w:pStyle w:val="P68B1DB1-TableParagraph13"/>
              <w:numPr>
                <w:ilvl w:val="0"/>
                <w:numId w:val="19"/>
              </w:numPr>
              <w:tabs>
                <w:tab w:val="left" w:pos="566"/>
              </w:tabs>
              <w:spacing w:after="120"/>
              <w:ind w:hanging="416"/>
            </w:pPr>
            <w:r>
              <w:t>τη σύσταση νέας εγκατάστασης,</w:t>
            </w:r>
          </w:p>
          <w:p w14:paraId="1EE08891" w14:textId="77777777" w:rsidR="009473E7" w:rsidRDefault="009473E7" w:rsidP="007C0D04">
            <w:pPr>
              <w:pStyle w:val="P68B1DB1-TableParagraph13"/>
              <w:numPr>
                <w:ilvl w:val="0"/>
                <w:numId w:val="19"/>
              </w:numPr>
              <w:tabs>
                <w:tab w:val="left" w:pos="566"/>
              </w:tabs>
              <w:spacing w:after="120"/>
              <w:ind w:right="109"/>
            </w:pPr>
            <w:r>
              <w:t>την επέκταση της δυναμικότητας υφιστάμενης εγκατάστασης,</w:t>
            </w:r>
          </w:p>
          <w:p w14:paraId="26E3EA3C" w14:textId="77777777" w:rsidR="009473E7" w:rsidRDefault="009473E7" w:rsidP="007C0D04">
            <w:pPr>
              <w:pStyle w:val="P68B1DB1-TableParagraph13"/>
              <w:numPr>
                <w:ilvl w:val="0"/>
                <w:numId w:val="19"/>
              </w:numPr>
              <w:tabs>
                <w:tab w:val="left" w:pos="566"/>
                <w:tab w:val="left" w:pos="1030"/>
                <w:tab w:val="left" w:pos="3141"/>
              </w:tabs>
              <w:spacing w:after="120"/>
              <w:ind w:right="102"/>
            </w:pPr>
            <w:r>
              <w:t>η</w:t>
            </w:r>
            <w:r>
              <w:tab/>
              <w:t>διαφοροποίηση των</w:t>
            </w:r>
            <w:r>
              <w:tab/>
              <w:t>παραγωγή μιας εγκατάστασης σε προϊόντα που δεν προηγήθηκαν</w:t>
            </w:r>
          </w:p>
          <w:p w14:paraId="4037EC63" w14:textId="77777777" w:rsidR="009473E7" w:rsidRDefault="009473E7" w:rsidP="007C0D04">
            <w:pPr>
              <w:pStyle w:val="P68B1DB1-TableParagraph13"/>
              <w:spacing w:after="120"/>
              <w:ind w:left="566"/>
            </w:pPr>
            <w:r>
              <w:t>παράγεται στην εγκατάσταση· είτε</w:t>
            </w:r>
          </w:p>
          <w:p w14:paraId="3C7455ED" w14:textId="77777777" w:rsidR="009473E7" w:rsidRDefault="009473E7" w:rsidP="003E0C33">
            <w:pPr>
              <w:pStyle w:val="P68B1DB1-TableParagraph13"/>
              <w:numPr>
                <w:ilvl w:val="0"/>
                <w:numId w:val="18"/>
              </w:numPr>
              <w:tabs>
                <w:tab w:val="left" w:pos="564"/>
                <w:tab w:val="left" w:pos="566"/>
              </w:tabs>
              <w:spacing w:after="120"/>
              <w:ind w:right="93"/>
              <w:jc w:val="both"/>
            </w:pPr>
            <w:r>
              <w:t>θεμελιώδης μεταβολή της συνολικής παραγωγικής διαδικασίας του προϊόντος ή των προϊόντων που αφορά η επένδυση στην εγκατάσταση.</w:t>
            </w:r>
          </w:p>
          <w:p w14:paraId="56113545" w14:textId="77777777" w:rsidR="009473E7" w:rsidRDefault="009473E7" w:rsidP="003E0C33">
            <w:pPr>
              <w:pStyle w:val="P68B1DB1-TableParagraph13"/>
              <w:spacing w:after="120"/>
              <w:ind w:left="102" w:right="93"/>
              <w:jc w:val="both"/>
            </w:pPr>
            <w:r>
              <w:t>Το ποσό της κρατικής ενίσχυσης καθορίζεται ως σταθερό ποσοστό των επιλέξιμων δαπανών για κρατικές ενισχύσεις που χορηγούνται σύμφωνα με τον ΓΚΑΚ, άρθρο 14/ΚΓΔ.</w:t>
            </w:r>
          </w:p>
          <w:p w14:paraId="6D357F8A" w14:textId="77777777" w:rsidR="009473E7" w:rsidRDefault="009473E7" w:rsidP="003E0C33">
            <w:pPr>
              <w:pStyle w:val="P68B1DB1-TableParagraph13"/>
              <w:spacing w:after="120"/>
              <w:ind w:left="102" w:right="92"/>
              <w:jc w:val="both"/>
            </w:pPr>
            <w:r>
              <w:t>Δεν είναι αναγκαίο να υπολογιστεί εκ νέου το ποσό της κρατικής ενίσχυσης στο τέλος της περιόδου απόσβεσης των στοιχείων ενεργητικού. Μόνο οι μηχανισμοί ελέγχου που εφαρμόζονται στις περιφερειακές επενδυτικές ενισχύσεις διασφαλίζουν ότι οι πραγματικές κρατικές ενισχύσεις δεν υπερβαίνουν το μέγιστο ποσό κρατικής ενίσχυσης που καθορίζεται στο καθορισμένο ποσοστό των επιλέξιμων δαπανών.</w:t>
            </w:r>
          </w:p>
          <w:p w14:paraId="109DC52F" w14:textId="386ACB6B" w:rsidR="009473E7" w:rsidRDefault="009473E7" w:rsidP="003E0C33">
            <w:pPr>
              <w:pStyle w:val="P68B1DB1-TableParagraph13"/>
              <w:spacing w:after="120"/>
              <w:ind w:left="102" w:right="94"/>
              <w:jc w:val="both"/>
            </w:pPr>
            <w:r>
              <w:t>Το ποσό της κρατικής ενίσχυσης που εγκρίθηκε αρχικά για περιφερειακές επενδυτικές ενισχύσεις δεν μπορεί να αυξηθεί σε μεταγενέστερο στάδιο προκειμένου να διασφαλιστεί η συμμόρφωση με το κριτήριο της δημιουργίας κινήτρων.</w:t>
            </w:r>
          </w:p>
        </w:tc>
      </w:tr>
      <w:tr w:rsidR="007B1A84" w14:paraId="37BFF7B4" w14:textId="77777777">
        <w:trPr>
          <w:trHeight w:val="1806"/>
        </w:trPr>
        <w:tc>
          <w:tcPr>
            <w:tcW w:w="9052" w:type="dxa"/>
            <w:gridSpan w:val="2"/>
          </w:tcPr>
          <w:p w14:paraId="0A6ABA33" w14:textId="6875BA59" w:rsidR="007B1A84" w:rsidRDefault="002A0261" w:rsidP="003E0C33">
            <w:pPr>
              <w:pStyle w:val="P68B1DB1-TableParagraph13"/>
              <w:numPr>
                <w:ilvl w:val="0"/>
                <w:numId w:val="17"/>
              </w:numPr>
              <w:tabs>
                <w:tab w:val="left" w:pos="438"/>
              </w:tabs>
              <w:spacing w:after="120"/>
              <w:ind w:right="94"/>
            </w:pPr>
            <w:r>
              <w:t xml:space="preserve">Το εκτιμώμενο ποσοστό (εκφραζόμενο ως ποσοστό από τον χρόνο που χρησιμοποιήθηκε ή την παραγωγική </w:t>
            </w:r>
            <w:r w:rsidR="00DB306F">
              <w:rPr>
                <w:lang w:val="el-GR"/>
              </w:rPr>
              <w:t>δυναμικότητα</w:t>
            </w:r>
            <w:r>
              <w:t xml:space="preserve"> που χρησιμοποιήθηκε) των διαφόρων τύπων δραστηριοτήτων θα πρέπει να καθοριστεί εκ των προτέρων.</w:t>
            </w:r>
          </w:p>
          <w:p w14:paraId="3B75FC83" w14:textId="77777777" w:rsidR="007B1A84" w:rsidRDefault="002A0261" w:rsidP="003E0C33">
            <w:pPr>
              <w:pStyle w:val="P68B1DB1-TableParagraph13"/>
              <w:numPr>
                <w:ilvl w:val="0"/>
                <w:numId w:val="17"/>
              </w:numPr>
              <w:tabs>
                <w:tab w:val="left" w:pos="438"/>
              </w:tabs>
              <w:spacing w:after="120"/>
              <w:ind w:hanging="288"/>
            </w:pPr>
            <w:r>
              <w:t>Οι επιλέξιμες δαπάνες για το ποσοστό ΥΓΟΣ και το ποσοστό άλλων υπηρεσιών καθορίζονται χωριστά.</w:t>
            </w:r>
          </w:p>
          <w:p w14:paraId="3864FA18" w14:textId="77777777" w:rsidR="007B1A84" w:rsidRDefault="002A0261" w:rsidP="003E0C33">
            <w:pPr>
              <w:pStyle w:val="P68B1DB1-TableParagraph13"/>
              <w:numPr>
                <w:ilvl w:val="0"/>
                <w:numId w:val="17"/>
              </w:numPr>
              <w:tabs>
                <w:tab w:val="left" w:pos="438"/>
              </w:tabs>
              <w:spacing w:after="120"/>
              <w:ind w:right="118"/>
            </w:pPr>
            <w:r>
              <w:t>Το επιλέξιμο ποσό αντιστάθμισης για τις ΥΓΟΣ και το ποσό της επιλέξιμης κρατικής ενίσχυσης για άλλες δραστηριότητες καθορίζονται σύμφωνα με τους αντίστοιχους κανόνες για τις κρατικές ενισχύσεις.</w:t>
            </w:r>
          </w:p>
          <w:p w14:paraId="14DB2FA8" w14:textId="77777777" w:rsidR="007B1A84" w:rsidRDefault="002A0261" w:rsidP="003E0C33">
            <w:pPr>
              <w:pStyle w:val="P68B1DB1-TableParagraph13"/>
              <w:numPr>
                <w:ilvl w:val="0"/>
                <w:numId w:val="17"/>
              </w:numPr>
              <w:tabs>
                <w:tab w:val="left" w:pos="438"/>
              </w:tabs>
              <w:spacing w:after="120"/>
              <w:ind w:right="101"/>
              <w:jc w:val="both"/>
            </w:pPr>
            <w:r>
              <w:rPr>
                <w:rFonts w:ascii="Arial" w:hAnsi="Arial"/>
                <w:i/>
              </w:rPr>
              <w:t>Εκτός από τους μηχανισμούς ανάκτησης που εφαρμόζονται για τη διόρθωση των επενδυτικών ενισχύσεων που χορηγούνται βάσει των κανόνων για τις ΥΓΟΣ, μπορεί επίσης να απαιτείται ανάκτηση παράνομων κρατικών ενισχύσεων εάν το ποσοστό που αποδίδεται σε άλλες υπηρεσίες είναι υψηλότερο από εκείνο που είχε αρχικά εκτιμηθεί</w:t>
            </w:r>
            <w:r>
              <w:t>.</w:t>
            </w:r>
          </w:p>
        </w:tc>
      </w:tr>
    </w:tbl>
    <w:p w14:paraId="29B6E1D3" w14:textId="77777777" w:rsidR="007B1A84" w:rsidRDefault="007B1A84" w:rsidP="003E0C33">
      <w:pPr>
        <w:pStyle w:val="BodyText"/>
        <w:spacing w:after="120"/>
        <w:rPr>
          <w:rFonts w:ascii="Arial"/>
          <w:b/>
        </w:rPr>
      </w:pPr>
    </w:p>
    <w:p w14:paraId="6802187E" w14:textId="77777777" w:rsidR="007B1A84" w:rsidRDefault="002A0261" w:rsidP="003E0C33">
      <w:pPr>
        <w:pStyle w:val="P68B1DB1-a58"/>
        <w:numPr>
          <w:ilvl w:val="0"/>
          <w:numId w:val="20"/>
        </w:numPr>
        <w:tabs>
          <w:tab w:val="left" w:pos="393"/>
          <w:tab w:val="left" w:pos="743"/>
        </w:tabs>
        <w:spacing w:after="120"/>
        <w:ind w:right="428" w:hanging="369"/>
      </w:pPr>
      <w:r>
        <w:t>Συνιστάται να εκπονηθούν γενικά εφαρμοστέες κατευθυντήριες γραμμές για τον επιμερισμό των δαπανών και τον καταλογισμό τους σε διαφορετικούς στόχους κρατικών ενισχύσεων, τηρουμένης της αρχής της αναλογικότητας.</w:t>
      </w:r>
    </w:p>
    <w:p w14:paraId="3372867F" w14:textId="04A1CFA1" w:rsidR="007B1A84" w:rsidRDefault="002A0261" w:rsidP="003E0C33">
      <w:pPr>
        <w:pStyle w:val="P68B1DB1-a58"/>
        <w:numPr>
          <w:ilvl w:val="0"/>
          <w:numId w:val="20"/>
        </w:numPr>
        <w:tabs>
          <w:tab w:val="left" w:pos="393"/>
          <w:tab w:val="left" w:pos="743"/>
        </w:tabs>
        <w:spacing w:after="120"/>
        <w:ind w:right="422" w:hanging="369"/>
      </w:pPr>
      <w:r>
        <w:t xml:space="preserve">Προκειμένου να διασφαλιστεί μια συντηρητική προσέγγιση κατά τον προσδιορισμό του ποσοστού χρησιμοποίησης ενός περιουσιακού στοιχείου/υποδομής για διαφορετικές δραστηριότητες, μπορούν να χρησιμοποιηθούν τουλάχιστον δύο κριτήρια τα οποία θα αντικατόπτριζαν με μεγαλύτερη ακρίβεια την αναμενόμενη ικανότητα χρησιμοποίησης για </w:t>
      </w:r>
      <w:r w:rsidR="000955C8">
        <w:rPr>
          <w:lang w:val="el-GR"/>
        </w:rPr>
        <w:t>διαφορετικούς τύπους</w:t>
      </w:r>
      <w:r>
        <w:t xml:space="preserve"> δραστηριοτήτων.</w:t>
      </w:r>
    </w:p>
    <w:p w14:paraId="4B9E7F1E" w14:textId="77777777" w:rsidR="007B1A84" w:rsidRDefault="002A0261" w:rsidP="003E0C33">
      <w:pPr>
        <w:pStyle w:val="P68B1DB1-a58"/>
        <w:numPr>
          <w:ilvl w:val="0"/>
          <w:numId w:val="20"/>
        </w:numPr>
        <w:tabs>
          <w:tab w:val="left" w:pos="393"/>
          <w:tab w:val="left" w:pos="743"/>
        </w:tabs>
        <w:spacing w:after="120"/>
        <w:ind w:right="415" w:hanging="369"/>
      </w:pPr>
      <w:r>
        <w:t>Τα εφαρμοστέα κριτήρια για τον καθορισμό της αναλογίας μεταξύ των διαφόρων τύπων δραστηριοτήτων θα μπορούσαν να είναι τα ακόλουθα:</w:t>
      </w:r>
    </w:p>
    <w:p w14:paraId="1A7F7898" w14:textId="77777777" w:rsidR="007B1A84" w:rsidRDefault="002A0261" w:rsidP="002A47D0">
      <w:pPr>
        <w:pStyle w:val="P68B1DB1-a58"/>
        <w:numPr>
          <w:ilvl w:val="1"/>
          <w:numId w:val="20"/>
        </w:numPr>
        <w:tabs>
          <w:tab w:val="left" w:pos="873"/>
        </w:tabs>
        <w:spacing w:after="120"/>
        <w:ind w:left="873" w:right="429" w:hanging="352"/>
      </w:pPr>
      <w:r>
        <w:lastRenderedPageBreak/>
        <w:t>Μερίδιο του κύκλου εργασιών των δραστηριοτήτων με βάση την αξία του κύκλου εργασιών,</w:t>
      </w:r>
    </w:p>
    <w:p w14:paraId="274218C4" w14:textId="77777777" w:rsidR="007B1A84" w:rsidRDefault="002A0261" w:rsidP="003E0C33">
      <w:pPr>
        <w:pStyle w:val="P68B1DB1-a58"/>
        <w:numPr>
          <w:ilvl w:val="1"/>
          <w:numId w:val="20"/>
        </w:numPr>
        <w:tabs>
          <w:tab w:val="left" w:pos="873"/>
        </w:tabs>
        <w:spacing w:after="120"/>
        <w:ind w:left="873" w:hanging="352"/>
      </w:pPr>
      <w:r>
        <w:t>Μερίδιο του κύκλου εργασιών ανά μονάδα,</w:t>
      </w:r>
    </w:p>
    <w:p w14:paraId="2DBCDDDD" w14:textId="77777777" w:rsidR="007B1A84" w:rsidRDefault="002A0261" w:rsidP="003E0C33">
      <w:pPr>
        <w:pStyle w:val="P68B1DB1-a58"/>
        <w:numPr>
          <w:ilvl w:val="1"/>
          <w:numId w:val="20"/>
        </w:numPr>
        <w:tabs>
          <w:tab w:val="left" w:pos="874"/>
        </w:tabs>
        <w:spacing w:after="120"/>
        <w:ind w:right="430"/>
      </w:pPr>
      <w:r>
        <w:t>Χρόνος χρησιμοποίησης του περιουσιακού στοιχείου που πρόκειται να αγοραστεί ή να δημιουργηθεί στο πλαίσιο του έργου για καθεμία από τις δραστηριότητες,</w:t>
      </w:r>
    </w:p>
    <w:p w14:paraId="419825C7" w14:textId="77777777" w:rsidR="007B1A84" w:rsidRDefault="002A0261" w:rsidP="003E0C33">
      <w:pPr>
        <w:pStyle w:val="P68B1DB1-a58"/>
        <w:numPr>
          <w:ilvl w:val="1"/>
          <w:numId w:val="20"/>
        </w:numPr>
        <w:tabs>
          <w:tab w:val="left" w:pos="874"/>
        </w:tabs>
        <w:spacing w:after="120"/>
        <w:ind w:right="414"/>
      </w:pPr>
      <w:r>
        <w:t>Τη χρησιμοποιούμενη ικανότητα του στοιχείου ενεργητικού που πρόκειται να αγοραστεί ή να δημιουργηθεί στο έργο για καθεμία από τις δραστηριότητες (π.χ. με βάση τις ποσότητες των διαφόρων ροών αποβλήτων που υποβάλλονται σε επεξεργασία μέσω του στοιχείου ενεργητικού),</w:t>
      </w:r>
    </w:p>
    <w:p w14:paraId="04EE0981" w14:textId="77777777" w:rsidR="007B1A84" w:rsidRDefault="002A0261" w:rsidP="00FC486F">
      <w:pPr>
        <w:pStyle w:val="P68B1DB1-a58"/>
        <w:numPr>
          <w:ilvl w:val="1"/>
          <w:numId w:val="20"/>
        </w:numPr>
        <w:tabs>
          <w:tab w:val="left" w:pos="873"/>
        </w:tabs>
        <w:spacing w:after="120"/>
        <w:ind w:left="873" w:right="429" w:hanging="352"/>
      </w:pPr>
      <w:r>
        <w:t>Χώρος που καταλαμβάνεται από το περιουσιακό στοιχείο που πρόκειται να αγοραστεί ή να δημιουργηθεί στο πλαίσιο του έργου για διάφορες δραστηριότητες,</w:t>
      </w:r>
    </w:p>
    <w:p w14:paraId="3AEF54E8" w14:textId="77777777" w:rsidR="007B1A84" w:rsidRDefault="002A0261" w:rsidP="003E0C33">
      <w:pPr>
        <w:pStyle w:val="P68B1DB1-a58"/>
        <w:numPr>
          <w:ilvl w:val="1"/>
          <w:numId w:val="20"/>
        </w:numPr>
        <w:tabs>
          <w:tab w:val="left" w:pos="873"/>
        </w:tabs>
        <w:spacing w:after="120"/>
        <w:ind w:left="873" w:hanging="352"/>
      </w:pPr>
      <w:r>
        <w:t>Άλλα — σύμφωνα με το αιτιολογικό που παρέσχε ο αιτών κρατική ενίσχυση.</w:t>
      </w:r>
    </w:p>
    <w:p w14:paraId="0A992738" w14:textId="6C1DA103" w:rsidR="007B1A84" w:rsidRDefault="002A0261" w:rsidP="003E0C33">
      <w:pPr>
        <w:pStyle w:val="P68B1DB1-a58"/>
        <w:numPr>
          <w:ilvl w:val="0"/>
          <w:numId w:val="20"/>
        </w:numPr>
        <w:tabs>
          <w:tab w:val="left" w:pos="393"/>
          <w:tab w:val="left" w:pos="743"/>
        </w:tabs>
        <w:spacing w:after="120"/>
        <w:ind w:right="419" w:hanging="369"/>
      </w:pPr>
      <w:r>
        <w:t>Ομοίως, όπως προκύπτει από τον ορισμό ΜΜΕ</w:t>
      </w:r>
      <w:r w:rsidR="00FC486F">
        <w:rPr>
          <w:rStyle w:val="FootnoteReference"/>
        </w:rPr>
        <w:footnoteReference w:id="48"/>
      </w:r>
      <w:r>
        <w:t xml:space="preserve">, στις κατευθυντήριες γραμμές μπορεί να διαπιστωθεί ότι το ποσοστό συγκρίνεται σε δύο διαδοχικές λογιστικές περιόδους. Η αρχή αυτή θα μπορούσε να εφαρμοστεί τόσο για τον καθορισμό της αναλογίας πριν από την υλοποίηση του έργου όσο και κατά τη διενέργεια εκ των </w:t>
      </w:r>
      <w:r>
        <w:rPr>
          <w:rFonts w:ascii="Arial" w:hAnsi="Arial"/>
          <w:i/>
        </w:rPr>
        <w:t xml:space="preserve">υστέρων </w:t>
      </w:r>
      <w:r>
        <w:t>ετήσιων ελέγχων.</w:t>
      </w:r>
    </w:p>
    <w:p w14:paraId="30824824" w14:textId="77777777" w:rsidR="007B1A84" w:rsidRDefault="002A0261" w:rsidP="003E0C33">
      <w:pPr>
        <w:pStyle w:val="P68B1DB1-a58"/>
        <w:numPr>
          <w:ilvl w:val="0"/>
          <w:numId w:val="20"/>
        </w:numPr>
        <w:tabs>
          <w:tab w:val="left" w:pos="377"/>
          <w:tab w:val="left" w:pos="743"/>
        </w:tabs>
        <w:spacing w:after="120"/>
        <w:ind w:left="377" w:right="414" w:hanging="353"/>
      </w:pPr>
      <w:r>
        <w:t>Εάν το περιουσιακό στοιχείο χρησιμοποιείται πράγματι σε διαφορετικό ποσοστό για τις δύο δραστηριότητες, καθίσταται αναγκαία η διόρθωση. Είναι σημαντικό ο δικαιούχος της κρατικής ενίσχυσης στο πλαίσιο του λογιστικού του συστήματος να εφαρμόζει κατάλληλα εργαλεία για τον διαχωρισμό των διαφόρων δραστηριοτήτων και τη διάκριση των δαπανών που συνδέονται με διαφορετικές δραστηριότητες.</w:t>
      </w:r>
    </w:p>
    <w:p w14:paraId="70B179CB" w14:textId="77777777" w:rsidR="007B1A84" w:rsidRDefault="002A0261" w:rsidP="003E0C33">
      <w:pPr>
        <w:pStyle w:val="P68B1DB1-a58"/>
        <w:numPr>
          <w:ilvl w:val="0"/>
          <w:numId w:val="20"/>
        </w:numPr>
        <w:tabs>
          <w:tab w:val="left" w:pos="377"/>
          <w:tab w:val="left" w:pos="743"/>
        </w:tabs>
        <w:spacing w:after="120"/>
        <w:ind w:left="377" w:right="424" w:hanging="353"/>
      </w:pPr>
      <w:r>
        <w:t>Η διόρθωση του πλεονάζοντος ποσού κρατικής ενίσχυσης μπορεί να πρέπει να πραγματοποιηθεί σύμφωνα με την ανακοίνωση για την ανάκτηση κρατικών ενισχύσεων, εάν το περιουσιακό στοιχείο χρησιμοποιήθηκε σε υψηλότερο ποσοστό (%) σε άλλες υπηρεσίες πλην των ΥΓΟΣ.</w:t>
      </w:r>
    </w:p>
    <w:p w14:paraId="639A4C0B" w14:textId="77777777" w:rsidR="007B1A84" w:rsidRDefault="002A0261" w:rsidP="003E0C33">
      <w:pPr>
        <w:pStyle w:val="P68B1DB1-a58"/>
        <w:numPr>
          <w:ilvl w:val="0"/>
          <w:numId w:val="20"/>
        </w:numPr>
        <w:tabs>
          <w:tab w:val="left" w:pos="377"/>
          <w:tab w:val="left" w:pos="743"/>
        </w:tabs>
        <w:spacing w:after="120"/>
        <w:ind w:left="377" w:right="429" w:hanging="353"/>
      </w:pPr>
      <w:r>
        <w:t>Στις κατευθυντήριες γραμμές μπορεί να διαπιστωθεί ότι η διόρθωση μπορεί να μην απαιτείται εάν η μεταβολή του ποσοστού είναι ασήμαντη, δηλαδή εάν η μεταβολή του ποσοστού δεν υπερβαίνει το 3 % σε σύγκριση με την αρχικά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t>) προσδιοριζόμενη εφαρμοστέα κατανομή μεταξύ των διαφόρων τύπων δραστηριοτήτων.</w:t>
      </w:r>
    </w:p>
    <w:p w14:paraId="31642008" w14:textId="77777777" w:rsidR="007B1A84" w:rsidRDefault="002A0261" w:rsidP="003E0C33">
      <w:pPr>
        <w:pStyle w:val="P68B1DB1-a58"/>
        <w:numPr>
          <w:ilvl w:val="0"/>
          <w:numId w:val="20"/>
        </w:numPr>
        <w:tabs>
          <w:tab w:val="left" w:pos="377"/>
          <w:tab w:val="left" w:pos="743"/>
        </w:tabs>
        <w:spacing w:after="120"/>
        <w:ind w:left="377" w:right="422" w:hanging="353"/>
      </w:pPr>
      <w:r>
        <w:t xml:space="preserve">Η συμμόρφωση με την εκτιμώμενη αναλογία μεταξύ των διαφόρων δραστηριοτήτων θα πρέπει να παρακολουθείται σε ετήσια βάση. Ο τύπος για </w:t>
      </w:r>
      <w:r>
        <w:rPr>
          <w:rFonts w:ascii="Arial"/>
          <w:i/>
        </w:rPr>
        <w:t>τους</w:t>
      </w:r>
      <w:r>
        <w:rPr>
          <w:rFonts w:ascii="Arial"/>
          <w:i/>
        </w:rPr>
        <w:t xml:space="preserve"> </w:t>
      </w:r>
      <w:r>
        <w:rPr>
          <w:rFonts w:ascii="Arial"/>
          <w:i/>
        </w:rPr>
        <w:t>μηχανισμούς</w:t>
      </w:r>
      <w:r>
        <w:rPr>
          <w:rFonts w:ascii="Arial"/>
          <w:i/>
        </w:rPr>
        <w:t xml:space="preserve"> </w:t>
      </w:r>
      <w:r>
        <w:t xml:space="preserve">ανάκτησης πρέπει να καθοριστεί εκ των προτέρων από την αρχή που χορηγεί τις κρατικές ενισχύσεις. Όπως προαναφέρθηκε, το κράτος μέλος μπορεί να αναπτύξει κατευθυντήριες γραμμές γενικής εφαρμογής, στις οποίες μπορεί να οριστεί ότι, για παράδειγμα, η μεταβολή του ποσοστού που δεν υπερβαίνει το 3 % από την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rPr>
          <w:rFonts w:ascii="Arial"/>
          <w:i/>
        </w:rPr>
        <w:t xml:space="preserve"> </w:t>
      </w:r>
      <w:r>
        <w:t>εκτιμώμενη αναλογία δεν απαιτεί διόρθωση και ότι η σύγκριση μεταξύ «εκτιμώμενου και πραγματικού ποσοστού» πραγματοποιείται με βάση διετή λογιστικά στοιχεία κ.λπ.</w:t>
      </w:r>
    </w:p>
    <w:p w14:paraId="692DAB2B" w14:textId="06750464" w:rsidR="007B1A84" w:rsidRPr="00BA0582" w:rsidRDefault="002A0261" w:rsidP="003E0C33">
      <w:pPr>
        <w:pStyle w:val="P68B1DB1-a58"/>
        <w:numPr>
          <w:ilvl w:val="0"/>
          <w:numId w:val="20"/>
        </w:numPr>
        <w:tabs>
          <w:tab w:val="left" w:pos="377"/>
          <w:tab w:val="left" w:pos="743"/>
        </w:tabs>
        <w:spacing w:after="120"/>
        <w:ind w:left="377" w:right="419" w:hanging="353"/>
      </w:pPr>
      <w:r>
        <w:t>Όταν οι εργασίες για το έργο έχουν αρχίσει</w:t>
      </w:r>
      <w:r w:rsidR="00672B4E">
        <w:rPr>
          <w:rStyle w:val="FootnoteReference"/>
        </w:rPr>
        <w:footnoteReference w:id="49"/>
      </w:r>
      <w:r>
        <w:t>, ο δικαιούχος της κρατικής ενίσχυσης δεν μπορεί να αλλάξει σε μεταγενέστερο στάδιο τις δραστηριότητες του έργου μεταξύ διαφορετικών στόχων κρατικών ενισχύσεων, όταν η κρατική ενίσχυση καλύπτεται εν μέρει από τους κανόνες του ΓΚΑΚ.</w:t>
      </w:r>
    </w:p>
    <w:p w14:paraId="2104E2E2" w14:textId="77777777" w:rsidR="00BA0582" w:rsidRDefault="00BA0582" w:rsidP="00BA0582">
      <w:pPr>
        <w:pStyle w:val="P68B1DB1-a58"/>
        <w:tabs>
          <w:tab w:val="left" w:pos="377"/>
          <w:tab w:val="left" w:pos="743"/>
        </w:tabs>
        <w:spacing w:after="120"/>
        <w:ind w:right="419"/>
        <w:rPr>
          <w:lang w:val="en-GB"/>
        </w:rPr>
      </w:pPr>
    </w:p>
    <w:p w14:paraId="0ADE5775" w14:textId="77777777" w:rsidR="00BA0582" w:rsidRDefault="00BA0582" w:rsidP="00BA0582">
      <w:pPr>
        <w:pStyle w:val="P68B1DB1-a58"/>
        <w:tabs>
          <w:tab w:val="left" w:pos="377"/>
          <w:tab w:val="left" w:pos="743"/>
        </w:tabs>
        <w:spacing w:after="120"/>
        <w:ind w:right="419"/>
      </w:pPr>
    </w:p>
    <w:p w14:paraId="180C8FC7" w14:textId="66F6E643" w:rsidR="007B1A84" w:rsidRPr="006E5E79" w:rsidRDefault="002A0261" w:rsidP="003E0C33">
      <w:pPr>
        <w:pStyle w:val="P68B1DB1-a58"/>
        <w:numPr>
          <w:ilvl w:val="0"/>
          <w:numId w:val="20"/>
        </w:numPr>
        <w:tabs>
          <w:tab w:val="left" w:pos="377"/>
          <w:tab w:val="left" w:pos="743"/>
        </w:tabs>
        <w:spacing w:after="120"/>
        <w:ind w:left="377" w:right="397" w:hanging="353"/>
      </w:pPr>
      <w:r>
        <w:lastRenderedPageBreak/>
        <w:t>Ο ΓΚΑΚ, άρθρο 6 παράγραφος 2 στοιχεία δ) και ε)</w:t>
      </w:r>
      <w:r w:rsidR="006E5E79">
        <w:rPr>
          <w:rStyle w:val="FootnoteReference"/>
        </w:rPr>
        <w:footnoteReference w:id="50"/>
      </w:r>
      <w:r>
        <w:t xml:space="preserve">, απαιτεί η αίτηση κρατικής ενίσχυσης </w:t>
      </w:r>
      <w:r w:rsidRPr="006E5E79">
        <w:t>να περιλαμβάνει, μεταξύ άλλων, τον κατάλογο των δαπανών του έργου και το ποσό της δημόσιας χρηματοδότησης που απαιτείται για το έργο. Η Ευρωπαϊκή Επιτροπή εξήγησε ότι η μετεγκατάσταση της δημόσιας χρηματοδότησης μεταξύ διαφορετικών στόχων κρατικών ενισχύσεων θα αίρει το τεκμήριο δημιουργίας κινήτρων βάσει του ΓΚΑΚ, άρθρο 6 παράγραφος 2, και θα ήταν αναγκαίο ο δικαιούχος της κρατικής ενίσχυσης να υποβάλει νέα αίτηση κρατικής ενίσχυσης με νέα κατανομή των δαπανών ανά είδος δραστηριότητας. Δεδομένου ότι οι εργασίες για το έργο έχουν αρχίσει ή μπορεί ακόμη και να έχουν ολοκληρωθεί ήδη, δεν μπορεί να ικανοποιηθεί η συμμόρφωση με την απαίτηση δημιουργίας κινήτρων.</w:t>
      </w:r>
    </w:p>
    <w:p w14:paraId="23313F13" w14:textId="77777777" w:rsidR="007B1A84" w:rsidRDefault="007B1A84" w:rsidP="003E0C33">
      <w:pPr>
        <w:pStyle w:val="BodyText"/>
        <w:spacing w:after="120"/>
      </w:pPr>
    </w:p>
    <w:p w14:paraId="334D84E2" w14:textId="77777777" w:rsidR="007B1A84" w:rsidRDefault="002A0261" w:rsidP="003E0C33">
      <w:pPr>
        <w:pStyle w:val="Heading2"/>
        <w:numPr>
          <w:ilvl w:val="0"/>
          <w:numId w:val="40"/>
        </w:numPr>
        <w:tabs>
          <w:tab w:val="left" w:pos="392"/>
        </w:tabs>
        <w:spacing w:after="120"/>
        <w:ind w:left="392" w:hanging="367"/>
        <w:rPr>
          <w:color w:val="F16421"/>
        </w:rPr>
      </w:pPr>
      <w:bookmarkStart w:id="27" w:name="_bookmark65"/>
      <w:bookmarkEnd w:id="27"/>
      <w:r>
        <w:t>Υποχρέωση διαχωρισμού των λογαριασμών και των δαπανών μεταξύ των διαφόρων δραστηριοτήτων.</w:t>
      </w:r>
    </w:p>
    <w:p w14:paraId="3FEFA8CB" w14:textId="77777777" w:rsidR="007B1A84" w:rsidRDefault="002A0261" w:rsidP="003E0C33">
      <w:pPr>
        <w:pStyle w:val="P68B1DB1-a58"/>
        <w:numPr>
          <w:ilvl w:val="0"/>
          <w:numId w:val="16"/>
        </w:numPr>
        <w:tabs>
          <w:tab w:val="left" w:pos="393"/>
          <w:tab w:val="left" w:pos="743"/>
        </w:tabs>
        <w:spacing w:after="120"/>
        <w:ind w:right="411" w:hanging="369"/>
      </w:pPr>
      <w:r>
        <w:t>Η απαίτηση να διασφαλίζεται ο διαχωρισμός των λογαριασμών και των δαπανών μεταξύ των διαφόρων δραστηριοτήτων μιας και μόνης επιχείρησης ορίζεται σε διάφορες νομικές πράξεις που συνοψίζονται στον πίνακα 12.</w:t>
      </w:r>
    </w:p>
    <w:p w14:paraId="6DBB2C0F" w14:textId="77777777" w:rsidR="007B1A84" w:rsidRDefault="002A0261" w:rsidP="004C2D59">
      <w:pPr>
        <w:pStyle w:val="P68B1DB1-a12"/>
        <w:spacing w:after="120"/>
        <w:ind w:left="25" w:right="429"/>
      </w:pPr>
      <w:r>
        <w:t>Πίνακας</w:t>
      </w:r>
      <w:r>
        <w:t xml:space="preserve"> 12: </w:t>
      </w:r>
      <w:r>
        <w:t>Υποχρέωση</w:t>
      </w:r>
      <w:r>
        <w:t xml:space="preserve"> </w:t>
      </w:r>
      <w:r>
        <w:t>διαχωρισμού</w:t>
      </w:r>
      <w:r>
        <w:t xml:space="preserve"> </w:t>
      </w:r>
      <w:r>
        <w:t>των</w:t>
      </w:r>
      <w:r>
        <w:t xml:space="preserve"> </w:t>
      </w:r>
      <w:r>
        <w:t>λογαριασμών</w:t>
      </w:r>
      <w:r>
        <w:t xml:space="preserve"> </w:t>
      </w:r>
      <w:r>
        <w:t>και</w:t>
      </w:r>
      <w:r>
        <w:t xml:space="preserve"> </w:t>
      </w:r>
      <w:r>
        <w:t>των</w:t>
      </w:r>
      <w:r>
        <w:t xml:space="preserve"> </w:t>
      </w:r>
      <w:r>
        <w:t>δαπανών</w:t>
      </w:r>
      <w:r>
        <w:t xml:space="preserve"> </w:t>
      </w:r>
      <w:r>
        <w:t>μεταξύ</w:t>
      </w:r>
      <w:r>
        <w:t xml:space="preserve"> </w:t>
      </w:r>
      <w:r>
        <w:t>των</w:t>
      </w:r>
      <w:r>
        <w:t xml:space="preserve"> </w:t>
      </w:r>
      <w:r>
        <w:t>διαφόρων</w:t>
      </w:r>
      <w:r>
        <w:t xml:space="preserve"> </w:t>
      </w:r>
      <w:r>
        <w:t>δραστηριοτήτων</w:t>
      </w:r>
      <w:r>
        <w:t>.</w:t>
      </w:r>
    </w:p>
    <w:tbl>
      <w:tblPr>
        <w:tblStyle w:val="TableNormal1"/>
        <w:tblW w:w="0" w:type="auto"/>
        <w:tblInd w:w="28" w:type="dxa"/>
        <w:tblBorders>
          <w:top w:val="single" w:sz="8" w:space="0" w:color="B8CCE3"/>
          <w:left w:val="single" w:sz="8" w:space="0" w:color="B8CCE3"/>
          <w:bottom w:val="single" w:sz="8" w:space="0" w:color="B8CCE3"/>
          <w:right w:val="single" w:sz="8" w:space="0" w:color="B8CCE3"/>
          <w:insideH w:val="single" w:sz="8" w:space="0" w:color="B8CCE3"/>
          <w:insideV w:val="single" w:sz="8" w:space="0" w:color="B8CCE3"/>
        </w:tblBorders>
        <w:tblLayout w:type="fixed"/>
        <w:tblLook w:val="01E0" w:firstRow="1" w:lastRow="1" w:firstColumn="1" w:lastColumn="1" w:noHBand="0" w:noVBand="0"/>
      </w:tblPr>
      <w:tblGrid>
        <w:gridCol w:w="2644"/>
        <w:gridCol w:w="6409"/>
      </w:tblGrid>
      <w:tr w:rsidR="007B1A84" w14:paraId="299B156E" w14:textId="77777777" w:rsidTr="004C2D59">
        <w:trPr>
          <w:trHeight w:val="315"/>
          <w:tblHeader/>
        </w:trPr>
        <w:tc>
          <w:tcPr>
            <w:tcW w:w="2644" w:type="dxa"/>
            <w:tcBorders>
              <w:bottom w:val="single" w:sz="8" w:space="0" w:color="94B3D6"/>
            </w:tcBorders>
            <w:shd w:val="clear" w:color="auto" w:fill="FAD3B4"/>
          </w:tcPr>
          <w:p w14:paraId="59EC3BEB" w14:textId="77777777" w:rsidR="007B1A84" w:rsidRDefault="002A0261" w:rsidP="003E0C33">
            <w:pPr>
              <w:pStyle w:val="P68B1DB1-TableParagraph15"/>
              <w:spacing w:after="120"/>
              <w:ind w:left="118"/>
            </w:pPr>
            <w:r>
              <w:t>Νομική</w:t>
            </w:r>
            <w:r>
              <w:t xml:space="preserve"> </w:t>
            </w:r>
            <w:r>
              <w:t>πράξη</w:t>
            </w:r>
          </w:p>
        </w:tc>
        <w:tc>
          <w:tcPr>
            <w:tcW w:w="6409" w:type="dxa"/>
            <w:tcBorders>
              <w:bottom w:val="single" w:sz="8" w:space="0" w:color="94B3D6"/>
            </w:tcBorders>
            <w:shd w:val="clear" w:color="auto" w:fill="FAD3B4"/>
          </w:tcPr>
          <w:p w14:paraId="56C39E41" w14:textId="77777777" w:rsidR="007B1A84" w:rsidRDefault="002A0261" w:rsidP="003E0C33">
            <w:pPr>
              <w:pStyle w:val="P68B1DB1-TableParagraph15"/>
              <w:spacing w:after="120"/>
              <w:ind w:left="101"/>
            </w:pPr>
            <w:r>
              <w:t>Σχετικές</w:t>
            </w:r>
            <w:r>
              <w:t xml:space="preserve"> </w:t>
            </w:r>
            <w:r>
              <w:t>διατάξεις</w:t>
            </w:r>
          </w:p>
        </w:tc>
      </w:tr>
      <w:tr w:rsidR="007B1A84" w14:paraId="32370FC1" w14:textId="77777777">
        <w:trPr>
          <w:trHeight w:val="1790"/>
        </w:trPr>
        <w:tc>
          <w:tcPr>
            <w:tcW w:w="2644" w:type="dxa"/>
            <w:tcBorders>
              <w:top w:val="single" w:sz="8" w:space="0" w:color="94B3D6"/>
            </w:tcBorders>
          </w:tcPr>
          <w:p w14:paraId="3D91F36E" w14:textId="77777777" w:rsidR="007B1A84" w:rsidRDefault="002A0261" w:rsidP="003E0C33">
            <w:pPr>
              <w:pStyle w:val="P68B1DB1-TableParagraph15"/>
              <w:spacing w:after="120"/>
              <w:ind w:left="118"/>
            </w:pPr>
            <w:r>
              <w:t>Απόφαση</w:t>
            </w:r>
            <w:r>
              <w:t xml:space="preserve"> </w:t>
            </w:r>
            <w:r>
              <w:t>ΥΓΟΣ</w:t>
            </w:r>
            <w:r>
              <w:t xml:space="preserve">, </w:t>
            </w:r>
            <w:r>
              <w:t>άρθρο</w:t>
            </w:r>
            <w:r>
              <w:t xml:space="preserve"> 5 </w:t>
            </w:r>
            <w:r>
              <w:t>παράγραφος</w:t>
            </w:r>
            <w:r>
              <w:t xml:space="preserve"> 9</w:t>
            </w:r>
          </w:p>
        </w:tc>
        <w:tc>
          <w:tcPr>
            <w:tcW w:w="6409" w:type="dxa"/>
            <w:tcBorders>
              <w:top w:val="single" w:sz="8" w:space="0" w:color="94B3D6"/>
            </w:tcBorders>
          </w:tcPr>
          <w:p w14:paraId="23348DF7" w14:textId="77777777" w:rsidR="007B1A84" w:rsidRDefault="002A0261" w:rsidP="003E0C33">
            <w:pPr>
              <w:pStyle w:val="P68B1DB1-TableParagraph13"/>
              <w:spacing w:after="120"/>
              <w:ind w:left="101" w:right="86"/>
              <w:jc w:val="both"/>
            </w:pPr>
            <w:r>
              <w:t>Όταν μια επιχείρηση ασκεί δραστηριότητες που εμπίπτουν τόσο εντός όσο και εκτός του πεδίου της υπηρεσίας γενικού οικονομικού συμφέροντος, οι εσωτερικοί λογαριασμοί αναφέρουν χωριστά τα έξοδα και τα έσοδα που συνδέονται με την υπηρεσία γενικού οικονομικού συμφέροντος και τα έσοδα άλλων υπηρεσιών, καθώς και τις παραμέτρους για την κατανομή των δαπανών και των εσόδων. Οι δαπάνες που συνδέονται με δραστηριότητες εκτός του πεδίου της υπηρεσίας γενικού οικονομικού συμφέροντος καλύπτουν όλες τις άμεσες δαπάνες, την κατάλληλη συνεισφορά στα κοινά έξοδα και την κατάλληλη απόδοση κεφαλαίου. Δεν χορηγείται αποζημίωση για τις εν λόγω δαπάνες.</w:t>
            </w:r>
          </w:p>
        </w:tc>
      </w:tr>
      <w:tr w:rsidR="007B1A84" w14:paraId="21183A01" w14:textId="77777777">
        <w:trPr>
          <w:trHeight w:val="1773"/>
        </w:trPr>
        <w:tc>
          <w:tcPr>
            <w:tcW w:w="2644" w:type="dxa"/>
          </w:tcPr>
          <w:p w14:paraId="05641C7C" w14:textId="77777777" w:rsidR="007B1A84" w:rsidRDefault="002A0261" w:rsidP="003E0C33">
            <w:pPr>
              <w:pStyle w:val="P68B1DB1-TableParagraph15"/>
              <w:spacing w:after="120"/>
              <w:ind w:left="118"/>
            </w:pPr>
            <w:r>
              <w:t>Πλαίσιο</w:t>
            </w:r>
            <w:r>
              <w:t xml:space="preserve"> </w:t>
            </w:r>
            <w:r>
              <w:t>ΥΓΟΣ</w:t>
            </w:r>
            <w:r>
              <w:t xml:space="preserve">, </w:t>
            </w:r>
            <w:r>
              <w:t>σημείο</w:t>
            </w:r>
            <w:r>
              <w:t xml:space="preserve"> 18</w:t>
            </w:r>
          </w:p>
        </w:tc>
        <w:tc>
          <w:tcPr>
            <w:tcW w:w="6409" w:type="dxa"/>
          </w:tcPr>
          <w:p w14:paraId="6CA56B74" w14:textId="77777777" w:rsidR="007B1A84" w:rsidRDefault="002A0261" w:rsidP="003E0C33">
            <w:pPr>
              <w:pStyle w:val="P68B1DB1-TableParagraph13"/>
              <w:spacing w:after="120"/>
              <w:ind w:left="101" w:right="90"/>
              <w:jc w:val="both"/>
            </w:pPr>
            <w:r>
              <w:t>Οι ενισχύσεις θεωρούνται συμβιβάσιμες με την εσωτερική αγορά βάσει του άρθρου 106 παράγραφος 2 της Συνθήκης μόνον εφόσον η επιχείρηση συμμορφώνεται, κατά περίπτωση, με την οδηγία 2006/111/ΕΚ για τη διαφάνεια των οικονομικών σχέσεων μεταξύ των κρατών μελών και των δημόσιων επιχειρήσεων, καθώς και για τη χρηματοοικονομική διαφάνεια εντός ορισμένων επιχειρήσεων (οδηγία για τη δημοσιονομική διαφάνεια). Οι ενισχύσεις που δεν συμμορφώνονται με την εν λόγω οδηγία θεωρείται ότι επηρεάζουν την ανάπτυξη των συναλλαγών σε βαθμό που θα ήταν αντίθετος προς το συμφέρον της Ένωσης κατά την έννοια του άρθρου 106 παράγραφος 2 της Συνθήκης.</w:t>
            </w:r>
          </w:p>
        </w:tc>
      </w:tr>
      <w:tr w:rsidR="007B1A84" w14:paraId="7F66750E" w14:textId="77777777">
        <w:trPr>
          <w:trHeight w:val="5937"/>
        </w:trPr>
        <w:tc>
          <w:tcPr>
            <w:tcW w:w="2644" w:type="dxa"/>
          </w:tcPr>
          <w:p w14:paraId="3975EB64" w14:textId="77777777" w:rsidR="007B1A84" w:rsidRDefault="002A0261" w:rsidP="003E0C33">
            <w:pPr>
              <w:pStyle w:val="P68B1DB1-TableParagraph15"/>
              <w:spacing w:after="120"/>
              <w:ind w:left="118" w:right="35"/>
            </w:pPr>
            <w:r>
              <w:lastRenderedPageBreak/>
              <w:t>Οδηγία</w:t>
            </w:r>
            <w:r>
              <w:t xml:space="preserve"> </w:t>
            </w:r>
            <w:r>
              <w:t>για</w:t>
            </w:r>
            <w:r>
              <w:t xml:space="preserve"> </w:t>
            </w:r>
            <w:r>
              <w:t>τη</w:t>
            </w:r>
            <w:r>
              <w:t xml:space="preserve"> </w:t>
            </w:r>
            <w:r>
              <w:t>διαφάνεια</w:t>
            </w:r>
            <w:r>
              <w:t>/</w:t>
            </w:r>
            <w:r>
              <w:t>οδηγία</w:t>
            </w:r>
            <w:r>
              <w:t xml:space="preserve"> 2006/111/</w:t>
            </w:r>
            <w:r>
              <w:t>ΕΚ</w:t>
            </w:r>
            <w:r>
              <w:t xml:space="preserve">, </w:t>
            </w:r>
            <w:r>
              <w:t>άρθρο</w:t>
            </w:r>
            <w:r>
              <w:t xml:space="preserve"> 1 </w:t>
            </w:r>
            <w:r>
              <w:t>παράγραφος</w:t>
            </w:r>
            <w:r>
              <w:t xml:space="preserve"> 2, </w:t>
            </w:r>
            <w:r>
              <w:t>άρθρο</w:t>
            </w:r>
            <w:r>
              <w:t xml:space="preserve"> 4 </w:t>
            </w:r>
            <w:r>
              <w:t>παράγραφος</w:t>
            </w:r>
            <w:r>
              <w:t xml:space="preserve"> 1, </w:t>
            </w:r>
            <w:r>
              <w:t>άρθρο</w:t>
            </w:r>
            <w:r>
              <w:t xml:space="preserve"> 5 </w:t>
            </w:r>
            <w:r>
              <w:t>παράγραφος</w:t>
            </w:r>
            <w:r>
              <w:t xml:space="preserve"> 2 </w:t>
            </w:r>
            <w:r>
              <w:t>στοιχείο</w:t>
            </w:r>
            <w:r>
              <w:t xml:space="preserve"> </w:t>
            </w:r>
            <w:r>
              <w:t>γ</w:t>
            </w:r>
            <w:r>
              <w:t>)</w:t>
            </w:r>
          </w:p>
        </w:tc>
        <w:tc>
          <w:tcPr>
            <w:tcW w:w="6409" w:type="dxa"/>
          </w:tcPr>
          <w:p w14:paraId="7BD4298D" w14:textId="77777777" w:rsidR="007B1A84" w:rsidRDefault="002A0261" w:rsidP="003E0C33">
            <w:pPr>
              <w:pStyle w:val="P68B1DB1-TableParagraph20"/>
              <w:spacing w:after="120"/>
              <w:ind w:left="101"/>
            </w:pPr>
            <w:r>
              <w:t>Άρθρο</w:t>
            </w:r>
            <w:r>
              <w:t xml:space="preserve"> 1</w:t>
            </w:r>
          </w:p>
          <w:p w14:paraId="154AF857" w14:textId="77777777" w:rsidR="007B1A84" w:rsidRDefault="002A0261" w:rsidP="003E0C33">
            <w:pPr>
              <w:pStyle w:val="P68B1DB1-TableParagraph13"/>
              <w:numPr>
                <w:ilvl w:val="0"/>
                <w:numId w:val="15"/>
              </w:numPr>
              <w:tabs>
                <w:tab w:val="left" w:pos="324"/>
              </w:tabs>
              <w:spacing w:after="120"/>
              <w:ind w:right="99" w:firstLine="0"/>
              <w:jc w:val="both"/>
            </w:pPr>
            <w:r>
              <w:t>Με την επιφύλαξη των ειδικών διατάξεων που θεσπίζονται από την Κοινότητα, τα κράτη μέλη μεριμνούν ώστε η οικονομική και οργανωτική δομή κάθε επιχείρησης που απαιτείται για την τήρηση χωριστών λογαριασμών να αποτυπώνεται ορθά στους χωριστούς λογαριασμούς, έτσι ώστε να προκύπτουν σαφώς τα ακόλουθα:</w:t>
            </w:r>
          </w:p>
          <w:p w14:paraId="7825EDA8" w14:textId="77777777" w:rsidR="007B1A84" w:rsidRDefault="002A0261" w:rsidP="003E0C33">
            <w:pPr>
              <w:pStyle w:val="P68B1DB1-TableParagraph13"/>
              <w:numPr>
                <w:ilvl w:val="1"/>
                <w:numId w:val="15"/>
              </w:numPr>
              <w:tabs>
                <w:tab w:val="left" w:pos="372"/>
              </w:tabs>
              <w:spacing w:after="120"/>
              <w:ind w:left="372" w:hanging="271"/>
              <w:jc w:val="both"/>
            </w:pPr>
            <w:r>
              <w:t>το κόστος και τα έσοδα που συνδέονται με διάφορες δραστηριότητες.</w:t>
            </w:r>
          </w:p>
          <w:p w14:paraId="621B2DE1" w14:textId="77777777" w:rsidR="007B1A84" w:rsidRDefault="002A0261" w:rsidP="003E0C33">
            <w:pPr>
              <w:pStyle w:val="P68B1DB1-TableParagraph13"/>
              <w:numPr>
                <w:ilvl w:val="1"/>
                <w:numId w:val="15"/>
              </w:numPr>
              <w:tabs>
                <w:tab w:val="left" w:pos="387"/>
              </w:tabs>
              <w:spacing w:after="120"/>
              <w:ind w:left="101" w:right="107" w:firstLine="0"/>
              <w:jc w:val="both"/>
            </w:pPr>
            <w:r>
              <w:t>πλήρεις λεπτομέρειες σχετικά με τις μεθόδους με τις οποίες οι δαπάνες και τα έσοδα καταλογίζονται ή κατανέμονται σε διάφορες δραστηριότητες.</w:t>
            </w:r>
          </w:p>
          <w:p w14:paraId="47BC07A6" w14:textId="77777777" w:rsidR="007B1A84" w:rsidRDefault="002A0261" w:rsidP="003E0C33">
            <w:pPr>
              <w:pStyle w:val="P68B1DB1-TableParagraph20"/>
              <w:spacing w:after="120"/>
              <w:ind w:left="101"/>
            </w:pPr>
            <w:r>
              <w:t>Άρθρο</w:t>
            </w:r>
            <w:r>
              <w:t xml:space="preserve"> 4</w:t>
            </w:r>
          </w:p>
          <w:p w14:paraId="137E4F43" w14:textId="77777777" w:rsidR="007B1A84" w:rsidRDefault="002A0261" w:rsidP="003E0C33">
            <w:pPr>
              <w:pStyle w:val="P68B1DB1-TableParagraph13"/>
              <w:numPr>
                <w:ilvl w:val="2"/>
                <w:numId w:val="15"/>
              </w:numPr>
              <w:tabs>
                <w:tab w:val="left" w:pos="308"/>
              </w:tabs>
              <w:spacing w:after="120"/>
              <w:ind w:right="99" w:firstLine="0"/>
              <w:jc w:val="both"/>
            </w:pPr>
            <w:r>
              <w:t>Για να εξασφαλιστεί η διαφάνεια που αναφέρεται στο άρθρο 1 παράγραφος 2, τα κράτη μέλη λαμβάνουν τα αναγκαία μέτρα ώστε κάθε επιχείρηση που υποχρεούται να τηρεί χωριστούς λογαριασμούς:</w:t>
            </w:r>
          </w:p>
          <w:p w14:paraId="6FB37CA7" w14:textId="77777777" w:rsidR="007B1A84" w:rsidRDefault="002A0261" w:rsidP="003E0C33">
            <w:pPr>
              <w:pStyle w:val="P68B1DB1-TableParagraph13"/>
              <w:numPr>
                <w:ilvl w:val="3"/>
                <w:numId w:val="15"/>
              </w:numPr>
              <w:tabs>
                <w:tab w:val="left" w:pos="372"/>
              </w:tabs>
              <w:spacing w:after="120"/>
              <w:ind w:left="372" w:hanging="271"/>
              <w:jc w:val="both"/>
            </w:pPr>
            <w:r>
              <w:t>οι εσωτερικοί λογαριασμοί που αντιστοιχούν σε διάφορες δραστηριότητες είναι χωριστοί.</w:t>
            </w:r>
          </w:p>
          <w:p w14:paraId="53C1FF2A" w14:textId="77777777" w:rsidR="007B1A84" w:rsidRDefault="002A0261" w:rsidP="003E0C33">
            <w:pPr>
              <w:pStyle w:val="P68B1DB1-TableParagraph13"/>
              <w:numPr>
                <w:ilvl w:val="3"/>
                <w:numId w:val="15"/>
              </w:numPr>
              <w:tabs>
                <w:tab w:val="left" w:pos="372"/>
              </w:tabs>
              <w:spacing w:after="120"/>
              <w:ind w:left="101" w:right="100" w:firstLine="0"/>
              <w:jc w:val="both"/>
            </w:pPr>
            <w:r>
              <w:t>όλες οι δαπάνες και τα έσοδα καταλογίζονται σωστά ή κατανέμονται με βάση τις αρχές λογιστικής κοστολόγησης που εφαρμόζονται με συνέπεια και δικαιολογούνται αντικειμενικά.</w:t>
            </w:r>
          </w:p>
          <w:p w14:paraId="5466C8B2" w14:textId="77777777" w:rsidR="007B1A84" w:rsidRDefault="002A0261" w:rsidP="003E0C33">
            <w:pPr>
              <w:pStyle w:val="P68B1DB1-TableParagraph13"/>
              <w:numPr>
                <w:ilvl w:val="3"/>
                <w:numId w:val="15"/>
              </w:numPr>
              <w:tabs>
                <w:tab w:val="left" w:pos="371"/>
              </w:tabs>
              <w:spacing w:after="120"/>
              <w:ind w:left="101" w:right="100" w:firstLine="0"/>
              <w:jc w:val="both"/>
            </w:pPr>
            <w:r>
              <w:t>οι αρχές κοστολόγησης σύμφωνα με τις οποίες τηρούνται χωριστοί λογαριασμοί καθορίζονται με σαφήνεια.</w:t>
            </w:r>
          </w:p>
          <w:p w14:paraId="062E37B9" w14:textId="77777777" w:rsidR="007B1A84" w:rsidRDefault="002A0261" w:rsidP="003E0C33">
            <w:pPr>
              <w:pStyle w:val="P68B1DB1-TableParagraph20"/>
              <w:spacing w:after="120"/>
              <w:ind w:left="101"/>
            </w:pPr>
            <w:r>
              <w:t>Άρθρο</w:t>
            </w:r>
            <w:r>
              <w:t xml:space="preserve"> 5</w:t>
            </w:r>
          </w:p>
          <w:p w14:paraId="361C6CA1" w14:textId="77777777" w:rsidR="007B1A84" w:rsidRDefault="002A0261" w:rsidP="003E0C33">
            <w:pPr>
              <w:pStyle w:val="P68B1DB1-TableParagraph13"/>
              <w:spacing w:after="120"/>
              <w:ind w:left="101" w:right="110"/>
              <w:jc w:val="both"/>
            </w:pPr>
            <w:r>
              <w:t>2. Όσον αφορά τη διαφάνεια που αναφέρεται στο άρθρο 1 παράγραφος 2, η παρούσα οδηγία δεν εφαρμόζεται:</w:t>
            </w:r>
          </w:p>
          <w:p w14:paraId="7B802DB5" w14:textId="77777777" w:rsidR="007B1A84" w:rsidRDefault="002A0261" w:rsidP="003E0C33">
            <w:pPr>
              <w:pStyle w:val="P68B1DB1-TableParagraph13"/>
              <w:spacing w:after="120"/>
              <w:ind w:left="101" w:right="83"/>
              <w:jc w:val="both"/>
            </w:pPr>
            <w:r>
              <w:t>γ) στις επιχειρήσεις που είναι επιφορτισμένες με τη διαχείριση υπηρεσιών γενικού οικονομικού συμφέροντος σύμφωνα με το άρθρο 86 παράγραφος 2 της Συνθήκης [νυν άρθρο 106, παράγραφος 2, ΣΛΕΕ], εφόσον η αποζημίωση που λαμβάνουν, υπό οποιαδήποτε μορφή, καθορίζεται για κατάλληλο χρονικό διάστημα κατόπιν ανοικτής, διαφανούς και χωρίς διακρίσεις διαδικασίας.</w:t>
            </w:r>
          </w:p>
        </w:tc>
      </w:tr>
      <w:tr w:rsidR="007B1A84" w14:paraId="5264FF9A" w14:textId="77777777">
        <w:trPr>
          <w:trHeight w:val="1565"/>
        </w:trPr>
        <w:tc>
          <w:tcPr>
            <w:tcW w:w="2644" w:type="dxa"/>
          </w:tcPr>
          <w:p w14:paraId="18A5A77A" w14:textId="77777777" w:rsidR="007B1A84" w:rsidRDefault="002A0261" w:rsidP="003E0C33">
            <w:pPr>
              <w:pStyle w:val="P68B1DB1-TableParagraph15"/>
              <w:spacing w:after="120"/>
              <w:ind w:left="118"/>
            </w:pPr>
            <w:r>
              <w:t>ΓΚΑΚ</w:t>
            </w:r>
            <w:r>
              <w:t xml:space="preserve">, </w:t>
            </w:r>
            <w:r>
              <w:t>άρθρο</w:t>
            </w:r>
            <w:r>
              <w:t xml:space="preserve"> 1 </w:t>
            </w:r>
            <w:r>
              <w:t>παράγραφος</w:t>
            </w:r>
            <w:r>
              <w:t xml:space="preserve"> 3 </w:t>
            </w:r>
            <w:r>
              <w:t>στοιχείο</w:t>
            </w:r>
            <w:r>
              <w:t xml:space="preserve"> </w:t>
            </w:r>
            <w:r>
              <w:t>ε</w:t>
            </w:r>
            <w:r>
              <w:t>)</w:t>
            </w:r>
          </w:p>
        </w:tc>
        <w:tc>
          <w:tcPr>
            <w:tcW w:w="6409" w:type="dxa"/>
          </w:tcPr>
          <w:p w14:paraId="2616C3DF" w14:textId="77777777" w:rsidR="007B1A84" w:rsidRDefault="002A0261" w:rsidP="003E0C33">
            <w:pPr>
              <w:pStyle w:val="P68B1DB1-TableParagraph13"/>
              <w:spacing w:after="120"/>
              <w:ind w:left="101" w:right="96"/>
              <w:jc w:val="both"/>
            </w:pPr>
            <w:r>
              <w:t>Όταν μια επιχείρηση δραστηριοποιείται στους εξαιρούμενους τομείς που αναφέρονται στα στοιχεία α), β) ή γ) του πρώτου εδαφίου [του άρθρου 1 παράγραφος 3] και σε τομείς που εμπίπτουν στο πεδίο εφαρμογής του παρόντος κανονισμού, ο παρών κανονισμός εφαρμόζεται στις ενισχύσεις που χορηγούνται για τους τελευταίους αυτούς τομείς ή δραστηριότητες, υπό την προϋπόθεση ότι τα κράτη μέλη διασφαλίζουν με κατάλληλα μέσα, όπως ο διαχωρισμός των δραστηριοτήτων ή η διάκριση του κόστους, ότι οι δραστηριότητες στους εξαιρούμενους τομείς δεν επωφελούνται από την ενίσχυση που χορηγείται σύμφωνα με τον παρόντα κανονισμό.</w:t>
            </w:r>
          </w:p>
        </w:tc>
      </w:tr>
    </w:tbl>
    <w:p w14:paraId="07AE9CA0" w14:textId="77777777" w:rsidR="007B1A84" w:rsidRDefault="002A0261" w:rsidP="004C2D59">
      <w:pPr>
        <w:pStyle w:val="Heading7"/>
        <w:numPr>
          <w:ilvl w:val="0"/>
          <w:numId w:val="16"/>
        </w:numPr>
        <w:tabs>
          <w:tab w:val="left" w:pos="393"/>
          <w:tab w:val="left" w:pos="743"/>
        </w:tabs>
        <w:spacing w:before="240" w:after="120"/>
        <w:ind w:left="392" w:right="408" w:hanging="369"/>
        <w:jc w:val="both"/>
      </w:pPr>
      <w:r>
        <w:t>Ο διαχωρισμός των λογαριασμών απαιτείται για να διασφαλιστεί ότι ο υπολογισμός του καθαρού κόστους μιας ΥΓΟΣ είναι ακριβής. Ο διαχωρισμός των λογαριασμών είναι επίσης σημαντικός για τον προσδιορισμό του καθαρού κόστους των ΥΓΟΣ και των μη ΥΓΟΣ, εάν μια οντότητα στην οποία έχει ανατεθεί η ΥΓΟΣ συμμετέχει και σε άλλες δραστηριότητες (δραστηριότητες που δεν εμπίπτουν στις ΥΓΟΣ).</w:t>
      </w:r>
    </w:p>
    <w:p w14:paraId="50BB6C42" w14:textId="77777777" w:rsidR="007B1A84" w:rsidRDefault="002A0261" w:rsidP="003E0C33">
      <w:pPr>
        <w:pStyle w:val="P68B1DB1-a58"/>
        <w:numPr>
          <w:ilvl w:val="0"/>
          <w:numId w:val="16"/>
        </w:numPr>
        <w:tabs>
          <w:tab w:val="left" w:pos="745"/>
        </w:tabs>
        <w:spacing w:after="120"/>
        <w:ind w:left="745" w:hanging="720"/>
      </w:pPr>
      <w:r>
        <w:t>Παραδείγματα διαχωρισμού λογαριασμών παρέχονται στο παράρτημα 3</w:t>
      </w:r>
    </w:p>
    <w:p w14:paraId="4134FA6A" w14:textId="77777777" w:rsidR="007B1A84" w:rsidRDefault="007B1A84" w:rsidP="003E0C33">
      <w:pPr>
        <w:pStyle w:val="ListParagraph"/>
        <w:spacing w:after="120"/>
        <w:jc w:val="left"/>
        <w:rPr>
          <w:sz w:val="21"/>
        </w:rPr>
        <w:sectPr w:rsidR="007B1A84">
          <w:pgSz w:w="11910" w:h="16840"/>
          <w:pgMar w:top="1500" w:right="992" w:bottom="1340" w:left="1417" w:header="0" w:footer="1157" w:gutter="0"/>
          <w:cols w:space="720"/>
        </w:sectPr>
      </w:pPr>
      <w:bookmarkStart w:id="28" w:name="_bookmark68"/>
      <w:bookmarkEnd w:id="28"/>
    </w:p>
    <w:p w14:paraId="28779791" w14:textId="77777777" w:rsidR="007B1A84" w:rsidRDefault="002A0261" w:rsidP="003E0C33">
      <w:pPr>
        <w:pStyle w:val="Heading2"/>
        <w:numPr>
          <w:ilvl w:val="0"/>
          <w:numId w:val="40"/>
        </w:numPr>
        <w:tabs>
          <w:tab w:val="left" w:pos="392"/>
        </w:tabs>
        <w:spacing w:after="120"/>
        <w:ind w:left="392" w:hanging="367"/>
        <w:rPr>
          <w:color w:val="F16421"/>
        </w:rPr>
      </w:pPr>
      <w:r>
        <w:lastRenderedPageBreak/>
        <w:t>Συμπεράσματα και συστάσεις</w:t>
      </w:r>
    </w:p>
    <w:p w14:paraId="0EFE4E1A" w14:textId="7A565C8C" w:rsidR="007B1A84" w:rsidRDefault="002A0261" w:rsidP="003E0C33">
      <w:pPr>
        <w:pStyle w:val="P68B1DB1-a58"/>
        <w:numPr>
          <w:ilvl w:val="0"/>
          <w:numId w:val="16"/>
        </w:numPr>
        <w:tabs>
          <w:tab w:val="left" w:pos="393"/>
          <w:tab w:val="left" w:pos="743"/>
        </w:tabs>
        <w:spacing w:after="120"/>
        <w:ind w:right="410" w:hanging="369"/>
      </w:pPr>
      <w:r>
        <w:t xml:space="preserve">Η </w:t>
      </w:r>
      <w:r w:rsidR="003A08F1">
        <w:rPr>
          <w:lang w:val="el-GR"/>
        </w:rPr>
        <w:t xml:space="preserve">αξιολόγηση της ομάδας </w:t>
      </w:r>
      <w:r>
        <w:t xml:space="preserve">Jaspers </w:t>
      </w:r>
      <w:r w:rsidR="003A08F1">
        <w:rPr>
          <w:lang w:val="el-GR"/>
        </w:rPr>
        <w:t>για τη</w:t>
      </w:r>
      <w:r>
        <w:t xml:space="preserve"> βέλτιστη εφαρμογή των στόχων για τις κρατικές ενισχύσεις, όπως περιγράφεται στο τμήμα 3.5, θεωρεί επί του παρόντος τον βέλτιστο συνδυασμό αντιστάθμισης ΥΓΟΣ και περιφερειακών επενδυτικών ενισχύσεων (εξαρτώμενων από συγκεκριμένη περιφέρεια εφαρμογής) για τη στήριξη επενδύσεων </w:t>
      </w:r>
      <w:r w:rsidR="003A08F1">
        <w:rPr>
          <w:lang w:val="el-GR"/>
        </w:rPr>
        <w:t>των</w:t>
      </w:r>
      <w:r>
        <w:t xml:space="preserve"> ΜΑΑ στην Ελλάδα. Ο συνδυασμός αυτός, μολονότι δεν επιστρέφει πάντοτε τη μέγιστη δυνατή αντιστάθμιση για τις κρατικές ενισχύσεις, εξετάζεται λόγω της δυνατότητας εφαρμογής, των απαιτήσεων παρακολούθησης και των δυνητικών κινδύνων.</w:t>
      </w:r>
    </w:p>
    <w:p w14:paraId="4D06E64E" w14:textId="00725C8D" w:rsidR="007B1A84" w:rsidRDefault="002A0261" w:rsidP="003E0C33">
      <w:pPr>
        <w:pStyle w:val="P68B1DB1-a58"/>
        <w:numPr>
          <w:ilvl w:val="0"/>
          <w:numId w:val="16"/>
        </w:numPr>
        <w:tabs>
          <w:tab w:val="left" w:pos="393"/>
          <w:tab w:val="left" w:pos="743"/>
        </w:tabs>
        <w:spacing w:after="120"/>
        <w:ind w:right="408" w:hanging="369"/>
      </w:pPr>
      <w:r>
        <w:t>Επισημαίνεται ότι στην περίπτωση της αντιστάθμισης ΥΓΟΣ, κάθε δυνητικός υπεργολάβος υποχρεούται να εκτελεί τις υπηρεσίες ΥΓΟΣ με τον ίδιο τρόπο που προβλέπεται στην κύρια πράξη ανάθεσης. Κατά συνέπεια, τόσο ο ιδιοκτήτης/</w:t>
      </w:r>
      <w:r w:rsidR="003A08F1">
        <w:rPr>
          <w:lang w:val="el-GR"/>
        </w:rPr>
        <w:t>φορέας υλοποίησης</w:t>
      </w:r>
      <w:r w:rsidR="0062640E">
        <w:rPr>
          <w:lang w:val="el-GR"/>
        </w:rPr>
        <w:t xml:space="preserve"> της</w:t>
      </w:r>
      <w:r>
        <w:t xml:space="preserve"> υποδομής όσο και ο (υπεργολάβιος) φορέας εκμετάλλευσης υποδομής δεσμεύονται από την ίδια πράξη ανάθεσης ΥΓΟΣ. Ως εκ τούτου, ένας φορέας ΥΓΟΣ μπορεί να παρέχει μόνο υπηρεσίες που προβλέπονται στην πράξη ανάθεσης ΥΓΟΣ, μπορεί να αποζημιώνεται μόνο για τις δαπάνες ΥΓΟΣ, είναι υποχρεωμένος να τηρεί χωριστούς λογαριασμούς για υπηρεσίες που δεν εμπίπτουν στην ΥΓΟΣ, πρέπει να τηρεί τις απαιτήσεις αντιστάθμισης και ελέγχου υπεραντιστάθμισης που προβλέπονται από την πράξη ανάθεσης ΥΓΟΣ κ.λπ.</w:t>
      </w:r>
    </w:p>
    <w:p w14:paraId="1CBE1448" w14:textId="0BE3FE0A" w:rsidR="007B1A84" w:rsidRDefault="002A0261" w:rsidP="003E0C33">
      <w:pPr>
        <w:pStyle w:val="P68B1DB1-a58"/>
        <w:numPr>
          <w:ilvl w:val="0"/>
          <w:numId w:val="16"/>
        </w:numPr>
        <w:tabs>
          <w:tab w:val="left" w:pos="393"/>
          <w:tab w:val="left" w:pos="743"/>
        </w:tabs>
        <w:spacing w:after="120"/>
        <w:ind w:right="409" w:hanging="369"/>
      </w:pPr>
      <w:r>
        <w:t xml:space="preserve">Η </w:t>
      </w:r>
      <w:r>
        <w:rPr>
          <w:rFonts w:ascii="Arial"/>
          <w:i/>
        </w:rPr>
        <w:t>διάταξη</w:t>
      </w:r>
      <w:r>
        <w:rPr>
          <w:rFonts w:ascii="Arial"/>
          <w:i/>
        </w:rPr>
        <w:t xml:space="preserve"> </w:t>
      </w:r>
      <w:r>
        <w:rPr>
          <w:rFonts w:ascii="Arial"/>
          <w:i/>
        </w:rPr>
        <w:t>ανάκτησης</w:t>
      </w:r>
      <w:r>
        <w:rPr>
          <w:rFonts w:ascii="Arial"/>
          <w:i/>
        </w:rPr>
        <w:t xml:space="preserve"> </w:t>
      </w:r>
      <w:r>
        <w:t>ισχύει πάντοτε για επενδύσεις σε υποδομές, όταν το ποσό της κρατικής ενίσχυσης έχει καθοριστεί με βάση τον υπολογισμό του ελλείμματος χρηματοδότησης. Ο επανυπολογισμός του κενού χρηματοδότησης πρέπει πάντα να πραγματοποιείται στο τέλος της οικονομικής ζωής (περίοδος απόσβεσης) των κύριων περιουσιακών στοιχείων που αποτελούν το επενδυτικό σχέδιο. Όταν η περίοδος ανάθεσης ΥΓΟΣ είναι μικρότερη από την οικονομική περίοδο ενός περιουσιακού στοιχείου, ο επανυπολογισμός του χρηματοδοτικού κενού (</w:t>
      </w:r>
      <w:r w:rsidR="0062640E">
        <w:rPr>
          <w:lang w:val="el-GR"/>
        </w:rPr>
        <w:t>ΜΚΟ</w:t>
      </w:r>
      <w:r>
        <w:t>) πρέπει να πραγματοποιηθεί στο τέλος της περιόδου ανάθεσης ΥΓΟΣ.</w:t>
      </w:r>
    </w:p>
    <w:p w14:paraId="431CCEBF" w14:textId="77777777" w:rsidR="007B1A84" w:rsidRDefault="002A0261" w:rsidP="003E0C33">
      <w:pPr>
        <w:pStyle w:val="P68B1DB1-a58"/>
        <w:numPr>
          <w:ilvl w:val="0"/>
          <w:numId w:val="16"/>
        </w:numPr>
        <w:tabs>
          <w:tab w:val="left" w:pos="393"/>
          <w:tab w:val="left" w:pos="743"/>
        </w:tabs>
        <w:spacing w:after="120"/>
        <w:ind w:right="434" w:hanging="369"/>
      </w:pPr>
      <w:r>
        <w:t>Η κατανομή των επιλέξιμων δαπανών με την εφαρμογή της αρχής της αναλογικότητας θα πρέπει να παρακολουθείται κατά την περίοδο της οικονομικής χρησιμοποίησης (περίοδος απόσβεσης) του περιουσιακού στοιχείου.</w:t>
      </w:r>
    </w:p>
    <w:p w14:paraId="43343EE4" w14:textId="77777777" w:rsidR="007B1A84" w:rsidRDefault="002A0261" w:rsidP="003E0C33">
      <w:pPr>
        <w:pStyle w:val="P68B1DB1-a58"/>
        <w:numPr>
          <w:ilvl w:val="0"/>
          <w:numId w:val="16"/>
        </w:numPr>
        <w:tabs>
          <w:tab w:val="left" w:pos="393"/>
          <w:tab w:val="left" w:pos="743"/>
        </w:tabs>
        <w:spacing w:after="120"/>
        <w:ind w:right="428" w:hanging="369"/>
      </w:pPr>
      <w:r>
        <w:t>Συνιστάται να εκπονηθούν γενικά εφαρμοστέες κατευθυντήριες γραμμές για τον επιμερισμό των δαπανών και τον καταλογισμό τους σε διαφορετικούς στόχους κρατικών ενισχύσεων, τηρουμένης της αρχής της αναλογικότητας.</w:t>
      </w:r>
    </w:p>
    <w:p w14:paraId="465D91EF" w14:textId="77777777" w:rsidR="007B1A84" w:rsidRDefault="002A0261" w:rsidP="003E0C33">
      <w:pPr>
        <w:pStyle w:val="P68B1DB1-a58"/>
        <w:numPr>
          <w:ilvl w:val="0"/>
          <w:numId w:val="16"/>
        </w:numPr>
        <w:tabs>
          <w:tab w:val="left" w:pos="393"/>
          <w:tab w:val="left" w:pos="743"/>
        </w:tabs>
        <w:spacing w:after="120"/>
        <w:ind w:right="412" w:hanging="369"/>
      </w:pPr>
      <w:r>
        <w:t>Εάν το εκτιμώμενο ποσοστό που αποδίδεται σε διάφορες δραστηριότητες έχει μεταβληθεί, πρέπει να γίνει αξιολόγηση της απαιτούμενης διόρθωσης και, ενδεχομένως, μέρος της κρατικής ενίσχυσης που καταβλήθηκε θα πρέπει να ανακτηθεί ως παράνομη κρατική ενίσχυση σύμφωνα με την ανακοίνωση για την ανάκτηση των κρατικών ενισχύσεων.</w:t>
      </w:r>
    </w:p>
    <w:p w14:paraId="0EB46740" w14:textId="77777777" w:rsidR="007B1A84" w:rsidRDefault="007B1A84" w:rsidP="003E0C33">
      <w:pPr>
        <w:pStyle w:val="ListParagraph"/>
        <w:spacing w:after="120"/>
        <w:rPr>
          <w:sz w:val="21"/>
        </w:rPr>
        <w:sectPr w:rsidR="007B1A84">
          <w:pgSz w:w="11910" w:h="16840"/>
          <w:pgMar w:top="1480" w:right="992" w:bottom="1340" w:left="1417" w:header="0" w:footer="1157" w:gutter="0"/>
          <w:cols w:space="720"/>
        </w:sectPr>
      </w:pPr>
    </w:p>
    <w:p w14:paraId="39E9CB88" w14:textId="77777777" w:rsidR="007B1A84" w:rsidRDefault="002A0261" w:rsidP="003E0C33">
      <w:pPr>
        <w:pStyle w:val="Heading2"/>
        <w:spacing w:after="120"/>
        <w:ind w:left="25" w:firstLine="0"/>
      </w:pPr>
      <w:bookmarkStart w:id="29" w:name="_bookmark69"/>
      <w:bookmarkEnd w:id="29"/>
      <w:r>
        <w:lastRenderedPageBreak/>
        <w:t>ΠΑΡΑΡΤΉΜΑΤΑ</w:t>
      </w:r>
    </w:p>
    <w:p w14:paraId="5931EC9B" w14:textId="77777777" w:rsidR="007B1A84" w:rsidRDefault="007B1A84" w:rsidP="003E0C33">
      <w:pPr>
        <w:pStyle w:val="BodyText"/>
        <w:spacing w:after="120"/>
        <w:rPr>
          <w:rFonts w:ascii="Arial"/>
          <w:b/>
          <w:sz w:val="24"/>
        </w:rPr>
      </w:pPr>
    </w:p>
    <w:p w14:paraId="6B4EEC18" w14:textId="3F31FA54" w:rsidR="007B1A84" w:rsidRDefault="002A0261" w:rsidP="003E0C33">
      <w:pPr>
        <w:pStyle w:val="P68B1DB1-231"/>
        <w:spacing w:after="120"/>
        <w:ind w:left="25" w:firstLine="0"/>
      </w:pPr>
      <w:bookmarkStart w:id="30" w:name="_bookmark70"/>
      <w:bookmarkEnd w:id="30"/>
      <w:r>
        <w:t xml:space="preserve">Παράρτημα 1 Κατευθυντήριες γραμμές προς τις ελληνικές αρχές σχετικά με τις εφαρμοστέες εναλλακτικές λύσεις για τη χορήγηση κρατικής ενίσχυσης </w:t>
      </w:r>
      <w:r w:rsidR="009C7D71">
        <w:rPr>
          <w:lang w:val="el-GR"/>
        </w:rPr>
        <w:t>στις</w:t>
      </w:r>
      <w:r>
        <w:t xml:space="preserve"> ΜΑΑ.</w:t>
      </w:r>
    </w:p>
    <w:p w14:paraId="4DC4433D" w14:textId="77777777" w:rsidR="007B1A84" w:rsidRDefault="007B1A84" w:rsidP="003E0C33">
      <w:pPr>
        <w:pStyle w:val="BodyText"/>
        <w:spacing w:after="120"/>
        <w:rPr>
          <w:rFonts w:ascii="Arial"/>
          <w:b/>
          <w:sz w:val="24"/>
        </w:rPr>
      </w:pPr>
    </w:p>
    <w:p w14:paraId="7D545200" w14:textId="77777777" w:rsidR="007B1A84" w:rsidRDefault="007B1A84" w:rsidP="003E0C33">
      <w:pPr>
        <w:pStyle w:val="BodyText"/>
        <w:spacing w:after="120"/>
        <w:rPr>
          <w:rFonts w:ascii="Arial"/>
          <w:b/>
          <w:sz w:val="24"/>
        </w:rPr>
      </w:pPr>
    </w:p>
    <w:p w14:paraId="26DAB7D9" w14:textId="2B214407" w:rsidR="007B1A84" w:rsidRPr="009C7D71" w:rsidRDefault="002A0261" w:rsidP="003E0C33">
      <w:pPr>
        <w:pStyle w:val="P68B1DB1-332"/>
        <w:spacing w:before="0" w:after="120"/>
        <w:ind w:firstLine="0"/>
      </w:pPr>
      <w:r>
        <w:t xml:space="preserve">ΕΝΑΛΛΑΚΤΙΚΟΙ ΣΤΟΧΟΙ ΚΡΑΤΙΚΗΣ ΕΝΙΣΧΥΣΗΣ </w:t>
      </w:r>
      <w:r w:rsidRPr="009C7D71">
        <w:rPr>
          <w:caps/>
          <w:smallCaps w:val="0"/>
        </w:rPr>
        <w:t>και ζητηματα</w:t>
      </w:r>
      <w:r>
        <w:t xml:space="preserve"> ΕΦΑΡ</w:t>
      </w:r>
      <w:r w:rsidR="009C7D71" w:rsidRPr="009C7D71">
        <w:t>ΜΟΓΗΣ</w:t>
      </w:r>
    </w:p>
    <w:p w14:paraId="2FCBBE66" w14:textId="77777777" w:rsidR="007B1A84" w:rsidRDefault="002A0261" w:rsidP="003E0C33">
      <w:pPr>
        <w:pStyle w:val="P68B1DB1-a333"/>
        <w:spacing w:after="120"/>
      </w:pPr>
      <w:r>
        <w:rPr>
          <w:noProof/>
        </w:rPr>
        <mc:AlternateContent>
          <mc:Choice Requires="wps">
            <w:drawing>
              <wp:anchor distT="0" distB="0" distL="0" distR="0" simplePos="0" relativeHeight="487600640" behindDoc="1" locked="0" layoutInCell="1" allowOverlap="1" wp14:anchorId="62D2E66D" wp14:editId="4FDEBE8F">
                <wp:simplePos x="0" y="0"/>
                <wp:positionH relativeFrom="page">
                  <wp:posOffset>905510</wp:posOffset>
                </wp:positionH>
                <wp:positionV relativeFrom="paragraph">
                  <wp:posOffset>60870</wp:posOffset>
                </wp:positionV>
                <wp:extent cx="5768340" cy="1270"/>
                <wp:effectExtent l="0" t="0" r="0" b="0"/>
                <wp:wrapTopAndBottom/>
                <wp:docPr id="34" name="Γραφική παράσταση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270"/>
                        </a:xfrm>
                        <a:custGeom>
                          <a:avLst/>
                          <a:gdLst/>
                          <a:ahLst/>
                          <a:cxnLst/>
                          <a:rect l="l" t="t" r="r" b="b"/>
                          <a:pathLst>
                            <a:path w="5768340">
                              <a:moveTo>
                                <a:pt x="0" y="0"/>
                              </a:moveTo>
                              <a:lnTo>
                                <a:pt x="5768340" y="0"/>
                              </a:lnTo>
                            </a:path>
                          </a:pathLst>
                        </a:custGeom>
                        <a:ln w="10160">
                          <a:solidFill>
                            <a:srgbClr val="BEBEBE"/>
                          </a:solidFill>
                          <a:prstDash val="sysDot"/>
                        </a:ln>
                      </wps:spPr>
                      <wps:bodyPr wrap="square" lIns="0" tIns="0" rIns="0" bIns="0" rtlCol="0">
                        <a:prstTxWarp prst="textNoShape">
                          <a:avLst/>
                        </a:prstTxWarp>
                        <a:noAutofit/>
                      </wps:bodyPr>
                    </wps:wsp>
                  </a:graphicData>
                </a:graphic>
              </wp:anchor>
            </w:drawing>
          </mc:Choice>
          <mc:Fallback>
            <w:pict>
              <v:shape w14:anchorId="1F05B6E0" id="Γραφική παράσταση 34" o:spid="_x0000_s1026" style="position:absolute;margin-left:71.3pt;margin-top:4.8pt;width:454.2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5768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" path="m,l5768340,e" filled="f" strokecolor="#bebebe" strokeweight=".8pt">
                <v:stroke dashstyle="1 1"/>
                <v:path arrowok="t"/>
                <w10:wrap type="topAndBottom" anchorx="page"/>
              </v:shape>
            </w:pict>
          </mc:Fallback>
        </mc:AlternateContent>
      </w:r>
    </w:p>
    <w:p w14:paraId="36541C3B" w14:textId="6EA18522" w:rsidR="007B1A84" w:rsidRDefault="002A0261" w:rsidP="003E0C33">
      <w:pPr>
        <w:pStyle w:val="BodyText"/>
        <w:spacing w:after="120"/>
        <w:ind w:left="25" w:right="432"/>
        <w:jc w:val="both"/>
      </w:pPr>
      <w:r>
        <w:t xml:space="preserve">Στο κύριο μέρος του παρόντος σημειώματος διαπιστώνεται ότι δύο στόχοι κρατικών ενισχύσεων — η αντιστάθμιση ΥΓΟΣ και οι περιφερειακές επενδυτικές ενισχύσεις- θα μπορούσαν να χρησιμοποιηθούν για τη στήριξη επενδύσεων </w:t>
      </w:r>
      <w:r w:rsidR="0086650C">
        <w:rPr>
          <w:lang w:val="el-GR"/>
        </w:rPr>
        <w:t>στις</w:t>
      </w:r>
      <w:r>
        <w:t xml:space="preserve"> ΜΑΑ.</w:t>
      </w:r>
    </w:p>
    <w:p w14:paraId="53CBE0B8" w14:textId="77777777" w:rsidR="007B1A84" w:rsidRDefault="002A0261" w:rsidP="003E0C33">
      <w:pPr>
        <w:pStyle w:val="BodyText"/>
        <w:spacing w:after="120"/>
        <w:ind w:left="25" w:right="424"/>
        <w:jc w:val="both"/>
      </w:pPr>
      <w:r>
        <w:t>Οι κανόνες για τις ΥΓΟΣ μπορούν να χρησιμοποιούνται μόνο όταν η αγορά δεν μπορεί να παρέχει ικανοποιητικές υπηρεσίες υπό κανονικές συνθήκες αγοράς λαμβάνοντας υπόψη το δημόσιο συμφέρον.</w:t>
      </w:r>
    </w:p>
    <w:p w14:paraId="4F78D227" w14:textId="77777777" w:rsidR="007B1A84" w:rsidRDefault="002A0261" w:rsidP="003E0C33">
      <w:pPr>
        <w:pStyle w:val="BodyText"/>
        <w:spacing w:after="120"/>
        <w:ind w:left="25" w:right="410"/>
        <w:jc w:val="both"/>
      </w:pPr>
      <w:r>
        <w:t>Οι κανόνες για τις περιφερειακές επενδυτικές ενισχύσεις θα μπορούσαν να χρησιμοποιηθούν όταν η αγορά λειτουργεί καλά για μια δεδομένη υπηρεσία και απαιτούνται πρόσθετες επενδύσεις για την επέκταση των τρεχουσών επιχειρηματικών δραστηριοτήτων μιας οντότητας ή για την έναρξη νέων ή πρόσθετων δραστηριοτήτων. Σημειώνεται ότι το άρθρο 47 μπορεί επίσης να εφαρμοστεί δυνητικά. (βλέπε πίνακα 10 του επεξηγηματικού σημειώματος).</w:t>
      </w:r>
    </w:p>
    <w:p w14:paraId="6922FDCE" w14:textId="77777777" w:rsidR="007B1A84" w:rsidRDefault="002A0261" w:rsidP="003E0C33">
      <w:pPr>
        <w:pStyle w:val="BodyText"/>
        <w:spacing w:after="120"/>
        <w:ind w:left="25" w:right="426"/>
        <w:jc w:val="both"/>
      </w:pPr>
      <w:r>
        <w:t>Στο κύριο μέρος του παρόντος σημειώματος εξηγείται ο τρόπος με τον οποίο μπορούν να συνδυαστούν διαφορετικοί στόχοι κρατικών ενισχύσεων για επενδύσεις στην ίδια υποδομή (RRF).</w:t>
      </w:r>
    </w:p>
    <w:p w14:paraId="7E6FA74B" w14:textId="77777777" w:rsidR="007B1A84" w:rsidRDefault="002A0261" w:rsidP="003E0C33">
      <w:pPr>
        <w:pStyle w:val="BodyText"/>
        <w:spacing w:after="120"/>
        <w:ind w:left="25" w:right="396"/>
        <w:jc w:val="both"/>
      </w:pPr>
      <w:r>
        <w:t>Όταν το κόστος των υποδομών δεν μπορεί να χαρακτηριστεί επιλέξιμο στο πλαίσιο ενός ενιαίου στόχου κρατικής ενίσχυσης, αλλά βάσει διαφορετικών στόχων κρατικών ενισχύσεων, και τα επιμέρους στοιχεία κόστους είναι σαφώς διαχωρίσιμα, μπορούν εύκολα να διαχωριστούν και να αποδοθούν σε συγκεκριμένους στόχους κρατικών ενισχύσεων. Οι επενδύσεις που συνδέονται με την παραγωγή ενέργειας μπορούν να αποτελέσουν παράδειγμα εύκολα διαχωρίσιμου κόστους.</w:t>
      </w:r>
    </w:p>
    <w:p w14:paraId="1C71D1D3" w14:textId="58A98EFA" w:rsidR="007B1A84" w:rsidRDefault="002A0261" w:rsidP="003E0C33">
      <w:pPr>
        <w:pStyle w:val="BodyText"/>
        <w:spacing w:after="120"/>
        <w:ind w:left="25" w:right="402"/>
        <w:jc w:val="both"/>
      </w:pPr>
      <w:r>
        <w:t xml:space="preserve">Όταν το επενδυτικό κόστος </w:t>
      </w:r>
      <w:r w:rsidR="0086650C">
        <w:rPr>
          <w:lang w:val="el-GR"/>
        </w:rPr>
        <w:t>της</w:t>
      </w:r>
      <w:r>
        <w:t xml:space="preserve"> ΜΑΑ δεν είναι δυνατόν να διαιρεθεί σαφώς, πρέπει να καθορίζονται τα ποσοστά χρήσης της ίδιας </w:t>
      </w:r>
      <w:r w:rsidR="0086650C">
        <w:rPr>
          <w:lang w:val="el-GR"/>
        </w:rPr>
        <w:t>εγκατάστασης</w:t>
      </w:r>
      <w:r>
        <w:t xml:space="preserve"> για διαφορετικές δραστηριότητες, προκειμένου να εφαρμόζονται ορθά διαφορετικοί κανόνες για τις κρατικές ενισχύσεις σε κάθε δραστηριότητα. Τα ποσοστά που αποδίδονται στα διάφορα είδη δραστηριοτήτων (εκφρασμένα ως % του χρόνου χρήσης ή της χρησιμοποιούμενης </w:t>
      </w:r>
      <w:r w:rsidR="0086650C">
        <w:rPr>
          <w:lang w:val="el-GR"/>
        </w:rPr>
        <w:t>δυναμικότητας</w:t>
      </w:r>
      <w:r>
        <w:t xml:space="preserve"> ή βάσει άλλου κριτηρίου) θα πρέπει να εκτιμώνται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t>.</w:t>
      </w:r>
    </w:p>
    <w:p w14:paraId="558B3C94" w14:textId="77777777" w:rsidR="007B1A84" w:rsidRDefault="002A0261" w:rsidP="003E0C33">
      <w:pPr>
        <w:pStyle w:val="BodyText"/>
        <w:spacing w:after="120"/>
        <w:ind w:left="25" w:right="413"/>
        <w:jc w:val="both"/>
      </w:pPr>
      <w:r>
        <w:t>Τα εφαρμοστέα κριτήρια για τον καθορισμό της αναλογίας μεταξύ των διαφόρων τύπων δραστηριοτήτων μπορούν να είναι τα ακόλουθα:</w:t>
      </w:r>
    </w:p>
    <w:p w14:paraId="599FEB0E" w14:textId="77777777" w:rsidR="007B1A84" w:rsidRDefault="002A0261" w:rsidP="00C23E2B">
      <w:pPr>
        <w:pStyle w:val="P68B1DB1-a58"/>
        <w:numPr>
          <w:ilvl w:val="0"/>
          <w:numId w:val="14"/>
        </w:numPr>
        <w:tabs>
          <w:tab w:val="left" w:pos="567"/>
        </w:tabs>
        <w:spacing w:after="120"/>
        <w:ind w:left="567" w:right="284" w:hanging="283"/>
      </w:pPr>
      <w:r>
        <w:t>Μερίδιο του κύκλου εργασιών των δραστηριοτήτων με βάση την αξία του κύκλου εργασιών,</w:t>
      </w:r>
    </w:p>
    <w:p w14:paraId="67096A80" w14:textId="77777777" w:rsidR="007B1A84" w:rsidRDefault="002A0261" w:rsidP="00C23E2B">
      <w:pPr>
        <w:pStyle w:val="P68B1DB1-a58"/>
        <w:numPr>
          <w:ilvl w:val="0"/>
          <w:numId w:val="14"/>
        </w:numPr>
        <w:tabs>
          <w:tab w:val="left" w:pos="567"/>
        </w:tabs>
        <w:spacing w:after="120"/>
        <w:ind w:left="567" w:right="284" w:hanging="283"/>
      </w:pPr>
      <w:r>
        <w:t>Μερίδιο του κύκλου εργασιών ανά μονάδα,</w:t>
      </w:r>
    </w:p>
    <w:p w14:paraId="6F479859" w14:textId="77777777" w:rsidR="007B1A84" w:rsidRDefault="002A0261" w:rsidP="00C23E2B">
      <w:pPr>
        <w:pStyle w:val="P68B1DB1-a58"/>
        <w:numPr>
          <w:ilvl w:val="0"/>
          <w:numId w:val="14"/>
        </w:numPr>
        <w:tabs>
          <w:tab w:val="left" w:pos="567"/>
        </w:tabs>
        <w:spacing w:after="120"/>
        <w:ind w:left="567" w:right="284" w:hanging="283"/>
      </w:pPr>
      <w:r>
        <w:t>Χρόνος χρησιμοποίησης του περιουσιακού στοιχείου που πρόκειται να αγοραστεί ή να δημιουργηθεί στο πλαίσιο του έργου για καθεμία από τις δραστηριότητες,</w:t>
      </w:r>
    </w:p>
    <w:p w14:paraId="28AC8518" w14:textId="77777777" w:rsidR="007B1A84" w:rsidRDefault="002A0261" w:rsidP="00C23E2B">
      <w:pPr>
        <w:pStyle w:val="P68B1DB1-a58"/>
        <w:numPr>
          <w:ilvl w:val="0"/>
          <w:numId w:val="14"/>
        </w:numPr>
        <w:tabs>
          <w:tab w:val="left" w:pos="567"/>
        </w:tabs>
        <w:spacing w:after="120"/>
        <w:ind w:left="567" w:right="284" w:hanging="283"/>
      </w:pPr>
      <w:r>
        <w:t>Τη χρησιμοποιούμενη ικανότητα του στοιχείου ενεργητικού που πρόκειται να αγοραστεί ή να δημιουργηθεί στο έργο για καθεμία από τις δραστηριότητες (π.χ. με βάση τις ποσότητες των διαφόρων ροών αποβλήτων που υποβάλλονται σε επεξεργασία μέσω του στοιχείου ενεργητικού),</w:t>
      </w:r>
    </w:p>
    <w:p w14:paraId="7D7ABFCF" w14:textId="77777777" w:rsidR="007B1A84" w:rsidRDefault="002A0261" w:rsidP="00C23E2B">
      <w:pPr>
        <w:pStyle w:val="P68B1DB1-a58"/>
        <w:numPr>
          <w:ilvl w:val="0"/>
          <w:numId w:val="14"/>
        </w:numPr>
        <w:tabs>
          <w:tab w:val="left" w:pos="567"/>
        </w:tabs>
        <w:spacing w:after="120"/>
        <w:ind w:left="567" w:right="284" w:hanging="283"/>
      </w:pPr>
      <w:r>
        <w:t>Χώρος που καταλαμβάνεται από το περιουσιακό στοιχείο που πρόκειται να αγοραστεί ή να δημιουργηθεί στο πλαίσιο του έργου για διάφορες δραστηριότητες,</w:t>
      </w:r>
    </w:p>
    <w:p w14:paraId="691D5D16" w14:textId="77777777" w:rsidR="007B1A84" w:rsidRDefault="002A0261" w:rsidP="00C23E2B">
      <w:pPr>
        <w:pStyle w:val="P68B1DB1-a58"/>
        <w:numPr>
          <w:ilvl w:val="0"/>
          <w:numId w:val="14"/>
        </w:numPr>
        <w:tabs>
          <w:tab w:val="left" w:pos="567"/>
        </w:tabs>
        <w:spacing w:after="120"/>
        <w:ind w:left="567" w:right="1" w:hanging="283"/>
      </w:pPr>
      <w:r>
        <w:t>Άλλα — σύμφωνα με το αιτιολογικό που παρέσχε ο αιτών κρατική ενίσχυση.</w:t>
      </w:r>
    </w:p>
    <w:p w14:paraId="2688FC9F" w14:textId="77777777" w:rsidR="007B1A84" w:rsidRDefault="002A0261" w:rsidP="003E0C33">
      <w:pPr>
        <w:pStyle w:val="BodyText"/>
        <w:spacing w:after="120"/>
        <w:ind w:left="25" w:right="411"/>
        <w:jc w:val="both"/>
      </w:pPr>
      <w:r>
        <w:t xml:space="preserve">Για να εξασφαλιστεί μια συντηρητική προσέγγιση κατά τον προσδιορισμό του ποσοστού χρησιμοποίησης ενός περιουσιακού στοιχείου/υποδομής για διάφορες δραστηριότητες, </w:t>
      </w:r>
      <w:r>
        <w:lastRenderedPageBreak/>
        <w:t>προτείνεται να χρησιμοποιηθούν τουλάχιστον δύο κριτήρια που θα αντικατόπτριζαν με μεγαλύτερη ακρίβεια την αναμενόμενη ικανότητα χρησιμοποίησης για διαφορετικούς τύπους δραστηριοτήτων.</w:t>
      </w:r>
    </w:p>
    <w:p w14:paraId="16A0FFE5" w14:textId="77777777" w:rsidR="001C48F2" w:rsidRDefault="002A0261" w:rsidP="00402458">
      <w:pPr>
        <w:pStyle w:val="BodyText"/>
        <w:spacing w:after="120"/>
        <w:ind w:left="25" w:right="413"/>
        <w:jc w:val="both"/>
        <w:rPr>
          <w:lang w:val="el-GR"/>
        </w:rPr>
      </w:pPr>
      <w:r>
        <w:t xml:space="preserve">Το παρόν σημείωμα εξηγεί τις απαιτήσεις που εφαρμόζονται για τον καθορισμό του ποσού της κρατικής ενίσχυσης για ένα μείγμα διαφορετικών στόχων κρατικών ενισχύσεων, καθώς και τις απαιτήσεις για εκ των </w:t>
      </w:r>
      <w:r>
        <w:rPr>
          <w:rFonts w:ascii="Arial"/>
          <w:i/>
        </w:rPr>
        <w:t>υστέρων</w:t>
      </w:r>
      <w:r>
        <w:rPr>
          <w:rFonts w:ascii="Arial"/>
          <w:i/>
        </w:rPr>
        <w:t xml:space="preserve"> </w:t>
      </w:r>
      <w:r>
        <w:t>διορθώσεις που απαιτούνται για τη συμμόρφωση με τους κανόνες περί κρατικών ενισχύσεων.</w:t>
      </w:r>
    </w:p>
    <w:p w14:paraId="45D8F325" w14:textId="223CEEC7" w:rsidR="007B1A84" w:rsidRDefault="002A0261" w:rsidP="00402458">
      <w:pPr>
        <w:pStyle w:val="BodyText"/>
        <w:spacing w:after="120"/>
        <w:ind w:left="25" w:right="413"/>
        <w:jc w:val="both"/>
      </w:pPr>
      <w:r>
        <w:t>Οι εκ των</w:t>
      </w:r>
      <w:r>
        <w:rPr>
          <w:rFonts w:ascii="Arial"/>
          <w:i/>
        </w:rPr>
        <w:t>υστέρων</w:t>
      </w:r>
      <w:r>
        <w:rPr>
          <w:rFonts w:ascii="Arial"/>
          <w:i/>
        </w:rPr>
        <w:t xml:space="preserve"> </w:t>
      </w:r>
      <w:r>
        <w:t>διορθώσεις ενδέχεται να απαιτούν την ανάκτηση μέρους της χορηγηθείσας κρατικής ενίσχυσης και η εν λόγω ανάκτηση θα πρέπει να εφαρμόζεται σύμφωνα με τους κανόνες που ορίζονται στην ανακοίνωση για την ανάκτηση των κρατικών ενισχύσεων.</w:t>
      </w:r>
    </w:p>
    <w:p w14:paraId="2EF4A95C" w14:textId="77777777" w:rsidR="007B1A84" w:rsidRDefault="002A0261" w:rsidP="003E0C33">
      <w:pPr>
        <w:pStyle w:val="P68B1DB1-a334"/>
        <w:spacing w:after="120"/>
        <w:ind w:left="25"/>
      </w:pPr>
      <w:r>
        <w:t>Συμπεράσματα/συστάσεις</w:t>
      </w:r>
    </w:p>
    <w:p w14:paraId="7B11FCDE" w14:textId="1D39B98D" w:rsidR="007B1A84" w:rsidRDefault="002A0261" w:rsidP="003E0C33">
      <w:pPr>
        <w:pStyle w:val="P68B1DB1-a58"/>
        <w:numPr>
          <w:ilvl w:val="0"/>
          <w:numId w:val="13"/>
        </w:numPr>
        <w:tabs>
          <w:tab w:val="left" w:pos="744"/>
          <w:tab w:val="left" w:pos="746"/>
        </w:tabs>
        <w:spacing w:after="120"/>
        <w:ind w:right="417"/>
      </w:pPr>
      <w:r>
        <w:t>Συνιστάται γενικά να αποφεύγεται ο συνδυασμός διαφορετικών στόχων κρατικών ενισχύσεων για επενδύσεις σε ΜΑΑ με επιλέξιμες δαπάνες</w:t>
      </w:r>
      <w:r w:rsidR="001C48F2">
        <w:rPr>
          <w:lang w:val="el-GR"/>
        </w:rPr>
        <w:t xml:space="preserve"> που δεν μπορούν να διαχωριστούν</w:t>
      </w:r>
      <w:r>
        <w:t>. Όπου είναι δυνατόν, οι ελληνικές αρχές θα πρέπει να εξετάσουν το ενδεχόμενο εφαρμογής είτε των κανόνων ΥΓΟΣ είτε των κανόνων περιφερειακών επενδυτικών ενισχύσεων για το σύνολο του έργου.</w:t>
      </w:r>
    </w:p>
    <w:p w14:paraId="7C1ED7AA" w14:textId="361F5031" w:rsidR="007B1A84" w:rsidRDefault="002A0261" w:rsidP="003E0C33">
      <w:pPr>
        <w:pStyle w:val="P68B1DB1-a58"/>
        <w:numPr>
          <w:ilvl w:val="0"/>
          <w:numId w:val="13"/>
        </w:numPr>
        <w:tabs>
          <w:tab w:val="left" w:pos="744"/>
          <w:tab w:val="left" w:pos="746"/>
        </w:tabs>
        <w:spacing w:after="120"/>
        <w:ind w:right="410"/>
      </w:pPr>
      <w:r>
        <w:t xml:space="preserve">Οι περιφερειακές επενδυτικές ενισχύσεις είναι η προτιμώμενη εναλλακτική λύση όταν λειτουργεί η αγορά και όπου μια επιχείρηση μπορεί να αποκομίσει έσοδα από τις επιχειρηματικές της δραστηριότητες για την κάλυψη του επενδυτικού κόστους σε ορισμένο επίπεδο από τα δικά της έσοδα ή εμπορικά δάνεια. Σύμφωνα με τους κανόνες για τις κρατικές ενισχύσεις περιφερειακού χαρακτήρα, ο δικαιούχος της κρατικής ενίσχυσης πρέπει να παρέχει χρηματοδοτική συνεισφορά ύψους τουλάχιστον 25 % των επιλέξιμων δαπανών μέσω ιδίων πόρων ή με εξωτερική χρηματοδότηση, υπό μορφή </w:t>
      </w:r>
      <w:r w:rsidR="001C48F2">
        <w:rPr>
          <w:lang w:val="el-GR"/>
        </w:rPr>
        <w:t xml:space="preserve">μη </w:t>
      </w:r>
      <w:r>
        <w:t>δημόσιας στήριξης.</w:t>
      </w:r>
    </w:p>
    <w:p w14:paraId="4644A140" w14:textId="77777777" w:rsidR="007B1A84" w:rsidRDefault="002A0261" w:rsidP="003E0C33">
      <w:pPr>
        <w:pStyle w:val="P68B1DB1-a58"/>
        <w:numPr>
          <w:ilvl w:val="0"/>
          <w:numId w:val="13"/>
        </w:numPr>
        <w:tabs>
          <w:tab w:val="left" w:pos="744"/>
          <w:tab w:val="left" w:pos="746"/>
        </w:tabs>
        <w:spacing w:after="120"/>
        <w:ind w:right="413"/>
      </w:pPr>
      <w:r>
        <w:t>Όταν η αγορά διαχείρισης αποβλήτων δεν λειτουργεί και οι υπηρεσίες διαχείρισης αποβλήτων δεν μπορούν να παρασχεθούν ικανοποιητικά υπό κανονικές συνθήκες της αγοράς, μπορεί να χρησιμοποιηθεί εναλλακτική λύση ΥΓΟΣ για τη χορήγηση κρατικών ενισχύσεων για επενδύσεις σε ΜΑΑ.</w:t>
      </w:r>
    </w:p>
    <w:p w14:paraId="51EADDE7" w14:textId="7C04174B" w:rsidR="007B1A84" w:rsidRDefault="002A0261" w:rsidP="003E0C33">
      <w:pPr>
        <w:pStyle w:val="P68B1DB1-a58"/>
        <w:numPr>
          <w:ilvl w:val="0"/>
          <w:numId w:val="13"/>
        </w:numPr>
        <w:tabs>
          <w:tab w:val="left" w:pos="744"/>
          <w:tab w:val="left" w:pos="746"/>
        </w:tabs>
        <w:spacing w:after="120"/>
        <w:ind w:right="412"/>
      </w:pPr>
      <w:r>
        <w:t xml:space="preserve">Κατά την εφαρμογή των ΥΓΟΣ, πρέπει να εξεταστούν δύο εναλλακτικά σενάρια: α) αποκλειστικά ΥΓΟΣ (100 % ΥΓΟΣ)· και β) συνδυασμός υπηρεσιών γενικού οικονομικού συμφέροντος και άλλων υπηρεσιών. Όταν τα «απόβλητα ΥΓΟΣ» και τα «λοιπά απόβλητα» υποβάλλονται σε επεξεργασία στο πλαίσιο </w:t>
      </w:r>
      <w:r w:rsidR="00C62D90">
        <w:rPr>
          <w:lang w:val="el-GR"/>
        </w:rPr>
        <w:t>της</w:t>
      </w:r>
      <w:r>
        <w:t xml:space="preserve"> ίδι</w:t>
      </w:r>
      <w:r w:rsidR="00C62D90">
        <w:rPr>
          <w:lang w:val="el-GR"/>
        </w:rPr>
        <w:t>ας</w:t>
      </w:r>
      <w:r>
        <w:t xml:space="preserve"> ΜΑΑ (μεικτές υπηρεσίες), θα πρέπει να καθορίζεται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rPr>
          <w:rFonts w:ascii="Arial"/>
          <w:i/>
        </w:rPr>
        <w:t xml:space="preserve"> </w:t>
      </w:r>
      <w:r>
        <w:rPr>
          <w:rFonts w:ascii="Arial"/>
          <w:i/>
        </w:rPr>
        <w:t>ένα</w:t>
      </w:r>
      <w:r>
        <w:rPr>
          <w:rFonts w:ascii="Arial"/>
          <w:i/>
        </w:rPr>
        <w:t xml:space="preserve"> </w:t>
      </w:r>
      <w:r>
        <w:rPr>
          <w:rFonts w:ascii="Arial"/>
          <w:i/>
        </w:rPr>
        <w:t>προγραμματισμένο</w:t>
      </w:r>
      <w:r>
        <w:rPr>
          <w:rFonts w:ascii="Arial"/>
          <w:i/>
        </w:rPr>
        <w:t xml:space="preserve"> </w:t>
      </w:r>
      <w:r>
        <w:rPr>
          <w:rFonts w:ascii="Arial"/>
          <w:i/>
        </w:rPr>
        <w:t>ποσοστό</w:t>
      </w:r>
      <w:r>
        <w:rPr>
          <w:rFonts w:ascii="Arial"/>
          <w:i/>
        </w:rPr>
        <w:t xml:space="preserve"> </w:t>
      </w:r>
      <w:r>
        <w:rPr>
          <w:rFonts w:ascii="Arial"/>
          <w:i/>
        </w:rPr>
        <w:t>ΥΓΟΣ</w:t>
      </w:r>
      <w:r>
        <w:rPr>
          <w:rFonts w:ascii="Arial"/>
          <w:i/>
        </w:rPr>
        <w:t xml:space="preserve">. </w:t>
      </w:r>
      <w:r>
        <w:t xml:space="preserve">Το πραγματικό ποσοστό των ΥΓΟΣ θα πρέπει να παρακολουθείται σε ετήσια βάση (σε εξέλιξη και τελική/εκ των </w:t>
      </w:r>
      <w:r>
        <w:rPr>
          <w:rFonts w:ascii="Arial"/>
          <w:i/>
        </w:rPr>
        <w:t>υστέρων</w:t>
      </w:r>
      <w:r>
        <w:t>). Ο δικαιούχος της κρατικής ενίσχυσης θα είναι υποχρεωμένος να υποβάλει έκθεση σχετικά με τυχόν αλλαγές στην αναλογία μεταξύ των υπηρεσιών ΥΓΟΣ και άλλων υπηρεσιών που παρέχονται στο πλαίσιο του ίδιου ΜΑΑ.</w:t>
      </w:r>
    </w:p>
    <w:p w14:paraId="3A4FD5F6" w14:textId="77777777" w:rsidR="007B1A84" w:rsidRDefault="002A0261" w:rsidP="003E0C33">
      <w:pPr>
        <w:pStyle w:val="P68B1DB1-a58"/>
        <w:numPr>
          <w:ilvl w:val="0"/>
          <w:numId w:val="13"/>
        </w:numPr>
        <w:tabs>
          <w:tab w:val="left" w:pos="744"/>
          <w:tab w:val="left" w:pos="746"/>
        </w:tabs>
        <w:spacing w:after="120"/>
        <w:ind w:right="405"/>
      </w:pPr>
      <w:r>
        <w:t xml:space="preserve">Συνιστάται στις ελληνικές αρχές να εκπονήσουν κατευθυντήριες γραμμές γενικής εφαρμογής για τον επιμερισμό των δαπανών και τον καταλογισμό τους σε διαφορετικούς στόχους κρατικών ενισχύσεων, τηρώντας την αρχή της αναλογικότητας. Οι εν λόγω κατευθυντήριες γραμμές μπορεί να προβλέπουν, για παράδειγμα, ότι η μεταβολή του ποσοστού που δεν υπερβαίνει το 3 % από την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rPr>
          <w:rFonts w:ascii="Arial"/>
          <w:i/>
        </w:rPr>
        <w:t xml:space="preserve"> </w:t>
      </w:r>
      <w:r>
        <w:t>εκτιμώμενη αναλογία δεν απαιτεί διόρθωση και ότι η σύγκριση μεταξύ «εκτιμώμενου και πραγματικού ποσοστού» θα πρέπει να γίνεται με βάση διετή λογιστικά στοιχεία κ.λπ.</w:t>
      </w:r>
    </w:p>
    <w:p w14:paraId="23D01F8D" w14:textId="77777777" w:rsidR="007B1A84" w:rsidRDefault="007B1A84" w:rsidP="003E0C33">
      <w:pPr>
        <w:pStyle w:val="BodyText"/>
        <w:spacing w:after="120"/>
      </w:pPr>
    </w:p>
    <w:p w14:paraId="02572E42" w14:textId="1B71F960" w:rsidR="007B1A84" w:rsidRPr="00F86A5F" w:rsidRDefault="002A0261" w:rsidP="003E0C33">
      <w:pPr>
        <w:pStyle w:val="P68B1DB1-a535"/>
        <w:numPr>
          <w:ilvl w:val="0"/>
          <w:numId w:val="12"/>
        </w:numPr>
        <w:tabs>
          <w:tab w:val="left" w:pos="343"/>
        </w:tabs>
        <w:spacing w:after="120"/>
        <w:ind w:left="343" w:hanging="318"/>
        <w:rPr>
          <w:rFonts w:ascii="Arial MT"/>
          <w:caps/>
          <w:sz w:val="24"/>
        </w:rPr>
      </w:pPr>
      <w:r w:rsidRPr="00F86A5F">
        <w:rPr>
          <w:rFonts w:ascii="Arial MT"/>
          <w:caps/>
          <w:sz w:val="24"/>
        </w:rPr>
        <w:t>ΑΝΤΙΣΤΆΘΜΙΣΗ ΥΓΟΣ — ΕΝΑΛΛΑΚΤΙΚΈΣ Λ</w:t>
      </w:r>
      <w:r w:rsidR="00F86A5F">
        <w:rPr>
          <w:rFonts w:ascii="Arial MT"/>
          <w:caps/>
          <w:sz w:val="24"/>
          <w:lang w:val="el-GR"/>
        </w:rPr>
        <w:t>Υ</w:t>
      </w:r>
      <w:r w:rsidRPr="00F86A5F">
        <w:rPr>
          <w:rFonts w:ascii="Arial MT"/>
          <w:caps/>
          <w:sz w:val="24"/>
        </w:rPr>
        <w:t>ΣΕΙΣ</w:t>
      </w:r>
    </w:p>
    <w:p w14:paraId="659638C5" w14:textId="77777777" w:rsidR="007B1A84" w:rsidRDefault="002A0261" w:rsidP="003E0C33">
      <w:pPr>
        <w:pStyle w:val="P68B1DB1-a333"/>
        <w:spacing w:after="120"/>
      </w:pPr>
      <w:r>
        <w:rPr>
          <w:noProof/>
        </w:rPr>
        <mc:AlternateContent>
          <mc:Choice Requires="wps">
            <w:drawing>
              <wp:anchor distT="0" distB="0" distL="0" distR="0" simplePos="0" relativeHeight="487601152" behindDoc="1" locked="0" layoutInCell="1" allowOverlap="1" wp14:anchorId="2F41616C" wp14:editId="7A432E2B">
                <wp:simplePos x="0" y="0"/>
                <wp:positionH relativeFrom="page">
                  <wp:posOffset>905510</wp:posOffset>
                </wp:positionH>
                <wp:positionV relativeFrom="paragraph">
                  <wp:posOffset>61265</wp:posOffset>
                </wp:positionV>
                <wp:extent cx="5768340" cy="1270"/>
                <wp:effectExtent l="0" t="0" r="0" b="0"/>
                <wp:wrapTopAndBottom/>
                <wp:docPr id="35" name="Γραφική παράσταση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270"/>
                        </a:xfrm>
                        <a:custGeom>
                          <a:avLst/>
                          <a:gdLst/>
                          <a:ahLst/>
                          <a:cxnLst/>
                          <a:rect l="l" t="t" r="r" b="b"/>
                          <a:pathLst>
                            <a:path w="5768340">
                              <a:moveTo>
                                <a:pt x="0" y="0"/>
                              </a:moveTo>
                              <a:lnTo>
                                <a:pt x="5768340" y="0"/>
                              </a:lnTo>
                            </a:path>
                          </a:pathLst>
                        </a:custGeom>
                        <a:ln w="10160">
                          <a:solidFill>
                            <a:srgbClr val="BEBEBE"/>
                          </a:solidFill>
                          <a:prstDash val="sysDot"/>
                        </a:ln>
                      </wps:spPr>
                      <wps:bodyPr wrap="square" lIns="0" tIns="0" rIns="0" bIns="0" rtlCol="0">
                        <a:prstTxWarp prst="textNoShape">
                          <a:avLst/>
                        </a:prstTxWarp>
                        <a:noAutofit/>
                      </wps:bodyPr>
                    </wps:wsp>
                  </a:graphicData>
                </a:graphic>
              </wp:anchor>
            </w:drawing>
          </mc:Choice>
          <mc:Fallback>
            <w:pict>
              <v:shape w14:anchorId="0D9EF62E" id="Γραφική παράσταση 35" o:spid="_x0000_s1026" style="position:absolute;margin-left:71.3pt;margin-top:4.8pt;width:454.2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5768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" path="m,l5768340,e" filled="f" strokecolor="#bebebe" strokeweight=".8pt">
                <v:stroke dashstyle="1 1"/>
                <v:path arrowok="t"/>
                <w10:wrap type="topAndBottom" anchorx="page"/>
              </v:shape>
            </w:pict>
          </mc:Fallback>
        </mc:AlternateContent>
      </w:r>
    </w:p>
    <w:p w14:paraId="4F0CD082" w14:textId="77777777" w:rsidR="007B1A84" w:rsidRDefault="002A0261" w:rsidP="003E0C33">
      <w:pPr>
        <w:pStyle w:val="BodyText"/>
        <w:spacing w:after="120"/>
        <w:ind w:left="25"/>
        <w:jc w:val="both"/>
      </w:pPr>
      <w:r>
        <w:t>Εξετάζονται δύο εναλλακτικά σενάρια:</w:t>
      </w:r>
    </w:p>
    <w:p w14:paraId="39A7EE22" w14:textId="77777777" w:rsidR="007B1A84" w:rsidRDefault="002A0261" w:rsidP="003E0C33">
      <w:pPr>
        <w:pStyle w:val="P68B1DB1-a58"/>
        <w:numPr>
          <w:ilvl w:val="1"/>
          <w:numId w:val="12"/>
        </w:numPr>
        <w:tabs>
          <w:tab w:val="left" w:pos="872"/>
        </w:tabs>
        <w:spacing w:after="120"/>
        <w:ind w:left="872" w:hanging="351"/>
      </w:pPr>
      <w:r>
        <w:t>Αποκλειστικά ΥΓΟΣ (100 % ΥΓΟΣ)· και</w:t>
      </w:r>
    </w:p>
    <w:p w14:paraId="7A675F32" w14:textId="77777777" w:rsidR="007B1A84" w:rsidRDefault="002A0261" w:rsidP="003E0C33">
      <w:pPr>
        <w:pStyle w:val="P68B1DB1-a58"/>
        <w:numPr>
          <w:ilvl w:val="1"/>
          <w:numId w:val="12"/>
        </w:numPr>
        <w:tabs>
          <w:tab w:val="left" w:pos="872"/>
        </w:tabs>
        <w:spacing w:after="120"/>
        <w:ind w:left="872" w:hanging="351"/>
      </w:pPr>
      <w:r>
        <w:t>Συνδυασμός υπηρεσιών: ΥΓΟΣ και άλλες υπηρεσίες.</w:t>
      </w:r>
    </w:p>
    <w:p w14:paraId="6ABC00FD" w14:textId="77777777" w:rsidR="007B1A84" w:rsidRDefault="002A0261" w:rsidP="003E0C33">
      <w:pPr>
        <w:pStyle w:val="BodyText"/>
        <w:spacing w:after="120"/>
        <w:ind w:left="25" w:right="397"/>
        <w:jc w:val="both"/>
      </w:pPr>
      <w:r>
        <w:t>Παρατηρήσεις σχετικά με κάθε εναλλακτική λύση ΥΓΟΣ παρέχονται περαιτέρω στο παρόν σημείο. Βλέπε επίσης σχετικό τμήμα του παρόντος σημειώματος.</w:t>
      </w:r>
    </w:p>
    <w:p w14:paraId="497EE59E" w14:textId="77777777" w:rsidR="007B1A84" w:rsidRDefault="002A0261" w:rsidP="003E0C33">
      <w:pPr>
        <w:pStyle w:val="P68B1DB1-a57"/>
        <w:numPr>
          <w:ilvl w:val="0"/>
          <w:numId w:val="11"/>
        </w:numPr>
        <w:tabs>
          <w:tab w:val="left" w:pos="759"/>
        </w:tabs>
        <w:spacing w:after="120"/>
        <w:ind w:left="759" w:hanging="238"/>
      </w:pPr>
      <w:r>
        <w:lastRenderedPageBreak/>
        <w:t>Αποκλειστικά</w:t>
      </w:r>
      <w:r>
        <w:t xml:space="preserve"> </w:t>
      </w:r>
      <w:r>
        <w:t>ΥΓΟΣ</w:t>
      </w:r>
      <w:r>
        <w:t xml:space="preserve"> (100</w:t>
      </w:r>
      <w:r>
        <w:t> </w:t>
      </w:r>
      <w:r>
        <w:t xml:space="preserve">% </w:t>
      </w:r>
      <w:r>
        <w:t>ΥΓΟΣ</w:t>
      </w:r>
      <w:r>
        <w:t>)</w:t>
      </w:r>
    </w:p>
    <w:p w14:paraId="243BB3F8" w14:textId="219FB085" w:rsidR="007B1A84" w:rsidRDefault="002A0261" w:rsidP="003E0C33">
      <w:pPr>
        <w:pStyle w:val="BodyText"/>
        <w:spacing w:after="120"/>
        <w:ind w:left="25" w:right="431"/>
        <w:jc w:val="both"/>
      </w:pPr>
      <w:r>
        <w:t xml:space="preserve">Για παράδειγμα, όταν τα </w:t>
      </w:r>
      <w:r w:rsidR="0097715E">
        <w:rPr>
          <w:lang w:val="el-GR"/>
        </w:rPr>
        <w:t>δημοτικά</w:t>
      </w:r>
      <w:r>
        <w:t xml:space="preserve"> </w:t>
      </w:r>
      <w:r w:rsidR="0097715E">
        <w:rPr>
          <w:lang w:val="el-GR"/>
        </w:rPr>
        <w:t>απόβλητα</w:t>
      </w:r>
      <w:r>
        <w:t xml:space="preserve"> συσκευασίας αναμειγνύονται με απόβλητα ΔΕΠ κατά τρόπο ώστε να μην είναι δυνατόν να προσδιοριστεί η προέλευση των ροών αποβλήτων πριν από την επεξεργασία/διαλογή, θα μπορούσε να δικαιολογηθεί το γεγονός ότι τα συνολικά απόβλητα που υποβάλλονται σε επεξεργασία από ΜΑΑ θεωρούνται ως μοναδική ΥΓΟΣ (100 % ΥΓΟΣ).</w:t>
      </w:r>
    </w:p>
    <w:p w14:paraId="47851C66" w14:textId="05204F78" w:rsidR="007B1A84" w:rsidRDefault="002A0261" w:rsidP="0097715E">
      <w:pPr>
        <w:pStyle w:val="BodyText"/>
        <w:spacing w:after="120"/>
        <w:ind w:left="25" w:right="423"/>
        <w:jc w:val="both"/>
        <w:rPr>
          <w:lang w:val="el-GR"/>
        </w:rPr>
      </w:pPr>
      <w:r>
        <w:t xml:space="preserve">Αυτό μπορεί να γίνει αποδεκτό σε περιπτώσεις όπου ροές αποβλήτων διαφορετικής προέλευσης διατίθενται σε κάδους που προορίζονται για οικιακά </w:t>
      </w:r>
      <w:r w:rsidR="00E16E6C">
        <w:rPr>
          <w:lang w:val="el-GR"/>
        </w:rPr>
        <w:t>απόβλητα</w:t>
      </w:r>
      <w:r>
        <w:t xml:space="preserve"> συσκευασίας και παρόμοια απόβλητα (συμπεριλαμβανομένων των αποβλήτων που εμπίπτουν πλήρως ή εν μέρει στα συστήματα ΔΕΠ), και τα εν λόγω απόβλητα συλλέγονται και μεταφέρονται σε </w:t>
      </w:r>
      <w:r w:rsidR="00E16E6C">
        <w:rPr>
          <w:lang w:val="el-GR"/>
        </w:rPr>
        <w:t>αναμεμιγμενη</w:t>
      </w:r>
      <w:r>
        <w:t xml:space="preserve"> κατάσταση.</w:t>
      </w:r>
    </w:p>
    <w:p w14:paraId="2D90A13C" w14:textId="77777777" w:rsidR="007B1A84" w:rsidRDefault="002A0261" w:rsidP="003E0C33">
      <w:pPr>
        <w:pStyle w:val="BodyText"/>
        <w:spacing w:after="120"/>
        <w:ind w:left="25" w:right="426"/>
        <w:jc w:val="both"/>
      </w:pPr>
      <w:r>
        <w:t>Ο μηχανισμός αντιστάθμισης ΥΓΟΣ και οι παράμετροι για τον υπολογισμό του ποσού της αντιστάθμισης ΥΓΟΣ θα πρέπει να εξετάζουν εκ των προτέρων το δυνητικό εισόδημα από την επεξεργασία αποβλήτων διαφορετικής προέλευσης.</w:t>
      </w:r>
    </w:p>
    <w:p w14:paraId="20864F8B" w14:textId="77777777" w:rsidR="007B1A84" w:rsidRDefault="002A0261" w:rsidP="0096304E">
      <w:pPr>
        <w:pStyle w:val="BodyText"/>
        <w:spacing w:after="120"/>
        <w:ind w:left="25" w:right="423"/>
        <w:jc w:val="both"/>
      </w:pPr>
      <w:r>
        <w:t>Κατά τον καθορισμό της αντιστάθμισης ΥΓΟΣ, μπορούν να ληφθούν υπόψη όλες οι δαπάνες του παρόχου ΥΓΟΣ.</w:t>
      </w:r>
    </w:p>
    <w:p w14:paraId="5BA64BAE" w14:textId="77777777" w:rsidR="007B1A84" w:rsidRDefault="002A0261" w:rsidP="003E0C33">
      <w:pPr>
        <w:pStyle w:val="BodyText"/>
        <w:spacing w:after="120"/>
        <w:ind w:left="25" w:right="413"/>
        <w:jc w:val="both"/>
      </w:pPr>
      <w:r>
        <w:t>Οι δαπάνες που συνδέονται με επενδύσεις σε υποδομές/εξοπλισμό μπορούν να λαμβάνονται υπόψη εάν οι δαπάνες αυτές είναι αναγκαίες για την υλοποίηση της ανατεθείσας ΥΓΟΣ. Ως εκ τούτου, όλες οι επενδυτικές δαπάνες θα θεωρούνται επιλέξιμες δαπάνες για τον υπολογισμό του χρηματοδοτικού κενού για ένα επενδυτικό σχέδιο. Το υπόλοιπο μέρος της χρηματοδότησης που απαιτείται για την υλοποίηση του επενδυτικού σχεδίου δεν μπορεί να περιλαμβάνει κρατικές ενισχύσεις. Δηλαδή, αυτά τα πρόσθετα κεφάλαια θα πρέπει να εξασφαλίζονται με τους όρους της αγοράς.</w:t>
      </w:r>
    </w:p>
    <w:p w14:paraId="15B2374B" w14:textId="77777777" w:rsidR="007B1A84" w:rsidRDefault="002A0261" w:rsidP="003E0C33">
      <w:pPr>
        <w:pStyle w:val="BodyText"/>
        <w:spacing w:after="120"/>
        <w:ind w:left="25" w:right="413"/>
        <w:jc w:val="both"/>
      </w:pPr>
      <w:r>
        <w:t>Κατ’ ελάχιστον, η υπεραντιστάθμιση θα πρέπει να ελέγχεται ανά τριετία κατά τη διάρκεια της περιόδου ανάθεσης της ΥΓΟΣ και στο τέλος της περιόδου ανάθεσης. Η υπεραντιστάθμιση συνιστά ασυμβίβαστη κρατική ενίσχυση που θα πρέπει να ανακτηθεί σύμφωνα με την ανακοίνωση για την ανάκτηση των κρατικών ενισχύσεων.</w:t>
      </w:r>
    </w:p>
    <w:p w14:paraId="70FFECFE" w14:textId="77777777" w:rsidR="007B1A84" w:rsidRDefault="002A0261" w:rsidP="003E0C33">
      <w:pPr>
        <w:pStyle w:val="P68B1DB1-a57"/>
        <w:numPr>
          <w:ilvl w:val="0"/>
          <w:numId w:val="11"/>
        </w:numPr>
        <w:tabs>
          <w:tab w:val="left" w:pos="759"/>
        </w:tabs>
        <w:spacing w:after="120"/>
        <w:ind w:left="759" w:hanging="238"/>
      </w:pPr>
      <w:r>
        <w:t>Συνδυασμός</w:t>
      </w:r>
      <w:r>
        <w:t xml:space="preserve"> </w:t>
      </w:r>
      <w:r>
        <w:t>υπηρεσιών</w:t>
      </w:r>
      <w:r>
        <w:t xml:space="preserve">: </w:t>
      </w:r>
      <w:r>
        <w:t>ΥΓΟΣ</w:t>
      </w:r>
      <w:r>
        <w:t xml:space="preserve"> </w:t>
      </w:r>
      <w:r>
        <w:t>και</w:t>
      </w:r>
      <w:r>
        <w:t xml:space="preserve"> </w:t>
      </w:r>
      <w:r>
        <w:t>άλλες</w:t>
      </w:r>
      <w:r>
        <w:t xml:space="preserve"> </w:t>
      </w:r>
      <w:r>
        <w:t>υπηρεσίες</w:t>
      </w:r>
    </w:p>
    <w:p w14:paraId="2533C7AF" w14:textId="77A667E8" w:rsidR="007B1A84" w:rsidRDefault="002A0261" w:rsidP="003E0C33">
      <w:pPr>
        <w:pStyle w:val="BodyText"/>
        <w:spacing w:after="120"/>
        <w:ind w:left="25" w:right="416"/>
        <w:jc w:val="both"/>
      </w:pPr>
      <w:r>
        <w:t xml:space="preserve">Τα σαφώς διαχωρίσιμα απόβλητα που εμπίπτουν στα συστήματα διευρυμένης ευθύνης του παραγωγού ή στη διαχείριση άλλων αποβλήτων που ενδέχεται να αποφέρουν επαρκές κέρδος για την επεξεργασία τους από την αγορά δεν θα πρέπει να περιλαμβάνονται στο πεδίο εφαρμογής των ΥΓΟΣ και θα πρέπει να θεωρούνται «άλλες υπηρεσίες». Το μέρος της υποδομής </w:t>
      </w:r>
      <w:r w:rsidR="00811232">
        <w:rPr>
          <w:lang w:val="el-GR"/>
        </w:rPr>
        <w:t>της</w:t>
      </w:r>
      <w:r>
        <w:t xml:space="preserve"> ΜΑΑ που χρησιμοποιείται για «άλλες υπηρεσίες» δεν μπορεί να καλυφθεί από αντιστάθμιση ΥΓΟΣ.</w:t>
      </w:r>
    </w:p>
    <w:p w14:paraId="4E803E58" w14:textId="77777777" w:rsidR="007B1A84" w:rsidRDefault="002A0261" w:rsidP="003E0C33">
      <w:pPr>
        <w:pStyle w:val="BodyText"/>
        <w:spacing w:after="120"/>
        <w:ind w:left="25" w:right="422"/>
        <w:jc w:val="both"/>
      </w:pPr>
      <w:r>
        <w:t>Όταν ο πάροχος ΥΓΟΣ ασκεί επίσης δραστηριότητες εκτός των δραστηριοτήτων ΥΓΟΣ που του έχουν ανατεθεί, μόνο οι δαπάνες που σχετίζονται με την ΥΓΟΣ μπορούν να λαμβάνονται υπόψη κατά τον καθορισμό της αντιστάθμισης ΥΓΟΣ.</w:t>
      </w:r>
    </w:p>
    <w:p w14:paraId="28E49188" w14:textId="77777777" w:rsidR="007B1A84" w:rsidRDefault="002A0261" w:rsidP="003E0C33">
      <w:pPr>
        <w:pStyle w:val="BodyText"/>
        <w:spacing w:after="120"/>
        <w:ind w:left="25" w:right="419"/>
        <w:jc w:val="both"/>
      </w:pPr>
      <w:r>
        <w:t xml:space="preserve">Αυτό απαιτεί προσεκτική </w:t>
      </w:r>
      <w:r>
        <w:rPr>
          <w:rFonts w:ascii="Arial"/>
          <w:i/>
        </w:rPr>
        <w:t>εκ</w:t>
      </w:r>
      <w:r>
        <w:rPr>
          <w:rFonts w:ascii="Arial"/>
          <w:i/>
        </w:rPr>
        <w:t xml:space="preserve"> </w:t>
      </w:r>
      <w:r>
        <w:rPr>
          <w:rFonts w:ascii="Arial"/>
          <w:i/>
        </w:rPr>
        <w:t>των</w:t>
      </w:r>
      <w:r>
        <w:rPr>
          <w:rFonts w:ascii="Arial"/>
          <w:i/>
        </w:rPr>
        <w:t xml:space="preserve"> </w:t>
      </w:r>
      <w:r>
        <w:rPr>
          <w:rFonts w:ascii="Arial"/>
          <w:i/>
        </w:rPr>
        <w:t>προτέρων</w:t>
      </w:r>
      <w:r>
        <w:rPr>
          <w:rFonts w:ascii="Arial"/>
          <w:i/>
        </w:rPr>
        <w:t xml:space="preserve"> </w:t>
      </w:r>
      <w:r>
        <w:t>εκτίμηση των ποσοστών χρήσης της ίδιας υποδομής/εξοπλισμού για τους διάφορους τομείς δραστηριότητας.</w:t>
      </w:r>
    </w:p>
    <w:p w14:paraId="63AFE6E5" w14:textId="77777777" w:rsidR="007B1A84" w:rsidRDefault="002A0261" w:rsidP="003E0C33">
      <w:pPr>
        <w:pStyle w:val="BodyText"/>
        <w:spacing w:after="120"/>
        <w:ind w:left="25" w:right="444"/>
        <w:jc w:val="both"/>
      </w:pPr>
      <w:r>
        <w:t>Η συμμόρφωση με τις εκτιμώμενες αναλογίες μεταξύ των διαφόρων δραστηριοτήτων θα πρέπει να παρακολουθείται σε ετήσια βάση.</w:t>
      </w:r>
    </w:p>
    <w:p w14:paraId="6E39CCE2" w14:textId="77777777" w:rsidR="007B1A84" w:rsidRDefault="002A0261" w:rsidP="003E0C33">
      <w:pPr>
        <w:pStyle w:val="BodyText"/>
        <w:spacing w:after="120"/>
        <w:ind w:left="25" w:right="399"/>
        <w:jc w:val="both"/>
      </w:pPr>
      <w:r>
        <w:t xml:space="preserve">Η αρχή που χορηγεί την κρατική ενίσχυση πρέπει να θεσπίσει έναν τύπο για </w:t>
      </w:r>
      <w:r>
        <w:rPr>
          <w:rFonts w:ascii="Arial" w:hAnsi="Arial"/>
          <w:i/>
        </w:rPr>
        <w:t xml:space="preserve">τους μηχανισμούς ανάκτησης </w:t>
      </w:r>
      <w:r>
        <w:t>πριν από τη χορήγηση της κρατικής ενίσχυσης. Εάν το περιουσιακό στοιχείο χρησιμοποιήθηκε για «λοιπές υπηρεσίες» σε ποσοστό (%) υψηλότερο από το προβλεπόμενο, το πλεονάζον ποσό κρατικής ενίσχυσης ενδέχεται να πρέπει να επιστραφεί σύμφωνα με την ανακοίνωση για την ανάκτηση κρατικών ενισχύσεων.</w:t>
      </w:r>
    </w:p>
    <w:p w14:paraId="3A75F74F" w14:textId="77777777" w:rsidR="007B1A84" w:rsidRDefault="002A0261" w:rsidP="003E0C33">
      <w:pPr>
        <w:pStyle w:val="P68B1DB1-a334"/>
        <w:spacing w:after="120"/>
        <w:ind w:left="25"/>
        <w:jc w:val="both"/>
      </w:pPr>
      <w:r>
        <w:t>Συμπεράσματα/συστάσεις</w:t>
      </w:r>
    </w:p>
    <w:p w14:paraId="5A9D5941" w14:textId="7E3EC8C6" w:rsidR="007B1A84" w:rsidRDefault="002A0261" w:rsidP="003E0C33">
      <w:pPr>
        <w:pStyle w:val="P68B1DB1-a58"/>
        <w:numPr>
          <w:ilvl w:val="0"/>
          <w:numId w:val="10"/>
        </w:numPr>
        <w:tabs>
          <w:tab w:val="left" w:pos="808"/>
          <w:tab w:val="left" w:pos="810"/>
        </w:tabs>
        <w:spacing w:after="120"/>
        <w:ind w:right="429"/>
      </w:pPr>
      <w:r>
        <w:t xml:space="preserve">Είναι δυνατόν να θεσπιστεί ορισμός των ΥΓΟΣ που να επιτρέπει την ταξινόμηση του 100 % </w:t>
      </w:r>
      <w:r w:rsidR="00FA0279">
        <w:rPr>
          <w:lang w:val="el-GR"/>
        </w:rPr>
        <w:t>μιας</w:t>
      </w:r>
      <w:r>
        <w:t xml:space="preserve"> ΜΑΑ ως ΥΓΟΣ, ωστόσο με επαρκώς ολοκληρωμένη και ορθή αιτιολόγηση.</w:t>
      </w:r>
    </w:p>
    <w:p w14:paraId="6175FE5C" w14:textId="77777777" w:rsidR="007B1A84" w:rsidRDefault="002A0261" w:rsidP="003E0C33">
      <w:pPr>
        <w:pStyle w:val="P68B1DB1-a58"/>
        <w:numPr>
          <w:ilvl w:val="0"/>
          <w:numId w:val="10"/>
        </w:numPr>
        <w:tabs>
          <w:tab w:val="left" w:pos="808"/>
          <w:tab w:val="left" w:pos="810"/>
        </w:tabs>
        <w:spacing w:after="120"/>
        <w:ind w:right="415"/>
      </w:pPr>
      <w:r>
        <w:t xml:space="preserve">Η εναλλακτική λύση της «αποκλειστικής ΥΓΟΣ» απαιτεί τακτικό έλεγχο των πλεοναζουσών κρατικών ενισχύσεων που χορηγούνται με τη μορφή αντισταθμίσεων ΥΓΟΣ (δηλ. υπεραντιστάθμιση). Ωστόσο, ένα «μείγμα υπηρεσιών: Η εναλλακτική λύση για τις ΥΓΟΣ </w:t>
      </w:r>
      <w:r>
        <w:lastRenderedPageBreak/>
        <w:t>και άλλες υπηρεσίες θα απαιτούσε επίσης τακτικό έλεγχο της υπεραντιστάθμισης και ετήσια αναθεώρηση του ποσοστού που εφαρμόζεται μεταξύ των ΥΓΟΣ και των «λοιπών υπηρεσιών».</w:t>
      </w:r>
    </w:p>
    <w:p w14:paraId="06ABF0E8" w14:textId="77777777" w:rsidR="007B1A84" w:rsidRDefault="002A0261" w:rsidP="003E0C33">
      <w:pPr>
        <w:pStyle w:val="P68B1DB1-a58"/>
        <w:numPr>
          <w:ilvl w:val="0"/>
          <w:numId w:val="10"/>
        </w:numPr>
        <w:tabs>
          <w:tab w:val="left" w:pos="808"/>
          <w:tab w:val="left" w:pos="810"/>
        </w:tabs>
        <w:spacing w:after="120"/>
        <w:ind w:right="424"/>
      </w:pPr>
      <w:r>
        <w:t>Τα πλεονάζοντα ποσά αντιστάθμισης ΥΓΟΣ ανακτώνται σύμφωνα με την ανακοίνωση για την ανάκτηση κρατικών ενισχύσεων, εκτός εάν η υπεραντιστάθμιση δεν υπερβαίνει το 10 %. Ταυτόχρονα, είναι αναγκαίο να αναθεωρηθεί η μέθοδος καθορισμού της αντιστάθμισης ΥΓΟΣ, λαμβανομένης υπόψη της διαπιστωθείσας υπεραντιστάθμισης.</w:t>
      </w:r>
    </w:p>
    <w:p w14:paraId="0D45B3D3" w14:textId="77777777" w:rsidR="007B1A84" w:rsidRDefault="002A0261" w:rsidP="003E0C33">
      <w:pPr>
        <w:pStyle w:val="P68B1DB1-a58"/>
        <w:numPr>
          <w:ilvl w:val="0"/>
          <w:numId w:val="10"/>
        </w:numPr>
        <w:tabs>
          <w:tab w:val="left" w:pos="808"/>
          <w:tab w:val="left" w:pos="810"/>
        </w:tabs>
        <w:spacing w:after="120"/>
        <w:ind w:right="412"/>
      </w:pPr>
      <w:r>
        <w:t>Εάν το εναλλακτικό σενάριο «μείγμα υπηρεσιών: Εφαρμόζεται η ΥΓΟΣ και άλλες υπηρεσίες», συνιστάται ο καθορισμός της ορθής αναλογίας μεταξύ των ΥΓΟΣ και των «λοιπών υπηρεσιών» από την αρχή, ώστε να αποφευχθεί ο χαρακτηρισμός μέρους της δημόσιας χρηματοδότησης που λαμβάνεται ως παράνομη κρατική ενίσχυση που πρέπει να ανακτηθεί σύμφωνα με την ανακοίνωση για την ανάκτηση κρατικών ενισχύσεων.</w:t>
      </w:r>
    </w:p>
    <w:p w14:paraId="46105A54" w14:textId="77777777" w:rsidR="007B1A84" w:rsidRPr="00597993" w:rsidRDefault="002A0261" w:rsidP="00597993">
      <w:pPr>
        <w:pStyle w:val="P68B1DB1-a58"/>
        <w:numPr>
          <w:ilvl w:val="0"/>
          <w:numId w:val="10"/>
        </w:numPr>
        <w:tabs>
          <w:tab w:val="left" w:pos="808"/>
          <w:tab w:val="left" w:pos="810"/>
        </w:tabs>
        <w:spacing w:after="120"/>
        <w:ind w:right="412"/>
      </w:pPr>
      <w:r>
        <w:t>Οι ελληνικές αρχές θα πρέπει να θεσπίσουν κατευθυντήριες γραμμές γενικής εφαρμογής για τον επιμερισμό των δαπανών και τον καταλογισμό τους σε διάφορες δραστηριότητες, τηρώντας την αρχή της αναλογικότητας.</w:t>
      </w:r>
    </w:p>
    <w:p w14:paraId="104477DD" w14:textId="77777777" w:rsidR="00597993" w:rsidRDefault="00597993" w:rsidP="003E0C33">
      <w:pPr>
        <w:pStyle w:val="ListParagraph"/>
        <w:spacing w:after="120"/>
        <w:rPr>
          <w:sz w:val="24"/>
          <w:lang w:val="el-GR"/>
        </w:rPr>
      </w:pPr>
    </w:p>
    <w:p w14:paraId="737D8308" w14:textId="77777777" w:rsidR="007B1A84" w:rsidRPr="00597993" w:rsidRDefault="002A0261" w:rsidP="003E0C33">
      <w:pPr>
        <w:pStyle w:val="P68B1DB1-332"/>
        <w:numPr>
          <w:ilvl w:val="0"/>
          <w:numId w:val="12"/>
        </w:numPr>
        <w:tabs>
          <w:tab w:val="left" w:pos="332"/>
        </w:tabs>
        <w:spacing w:before="0" w:after="120"/>
        <w:ind w:left="332" w:hanging="307"/>
        <w:rPr>
          <w:caps/>
          <w:smallCaps w:val="0"/>
        </w:rPr>
      </w:pPr>
      <w:r w:rsidRPr="00597993">
        <w:rPr>
          <w:caps/>
          <w:smallCaps w:val="0"/>
        </w:rPr>
        <w:t>Αιτιολόγηση και πεδίο εφαρμογής μιας ΥΓΟΣ</w:t>
      </w:r>
    </w:p>
    <w:p w14:paraId="3118C491" w14:textId="77777777" w:rsidR="007B1A84" w:rsidRDefault="002A0261" w:rsidP="003E0C33">
      <w:pPr>
        <w:pStyle w:val="P68B1DB1-a333"/>
        <w:spacing w:after="120"/>
      </w:pPr>
      <w:r>
        <w:rPr>
          <w:noProof/>
        </w:rPr>
        <mc:AlternateContent>
          <mc:Choice Requires="wps">
            <w:drawing>
              <wp:anchor distT="0" distB="0" distL="0" distR="0" simplePos="0" relativeHeight="487601664" behindDoc="1" locked="0" layoutInCell="1" allowOverlap="1" wp14:anchorId="7E4F21D3" wp14:editId="3CD1A5BF">
                <wp:simplePos x="0" y="0"/>
                <wp:positionH relativeFrom="page">
                  <wp:posOffset>905510</wp:posOffset>
                </wp:positionH>
                <wp:positionV relativeFrom="paragraph">
                  <wp:posOffset>60979</wp:posOffset>
                </wp:positionV>
                <wp:extent cx="5768340" cy="1270"/>
                <wp:effectExtent l="0" t="0" r="0" b="0"/>
                <wp:wrapTopAndBottom/>
                <wp:docPr id="36" name="Γραφική παράσταση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270"/>
                        </a:xfrm>
                        <a:custGeom>
                          <a:avLst/>
                          <a:gdLst/>
                          <a:ahLst/>
                          <a:cxnLst/>
                          <a:rect l="l" t="t" r="r" b="b"/>
                          <a:pathLst>
                            <a:path w="5768340">
                              <a:moveTo>
                                <a:pt x="0" y="0"/>
                              </a:moveTo>
                              <a:lnTo>
                                <a:pt x="5768340" y="0"/>
                              </a:lnTo>
                            </a:path>
                          </a:pathLst>
                        </a:custGeom>
                        <a:ln w="10160">
                          <a:solidFill>
                            <a:srgbClr val="BEBEBE"/>
                          </a:solidFill>
                          <a:prstDash val="sysDot"/>
                        </a:ln>
                      </wps:spPr>
                      <wps:bodyPr wrap="square" lIns="0" tIns="0" rIns="0" bIns="0" rtlCol="0">
                        <a:prstTxWarp prst="textNoShape">
                          <a:avLst/>
                        </a:prstTxWarp>
                        <a:noAutofit/>
                      </wps:bodyPr>
                    </wps:wsp>
                  </a:graphicData>
                </a:graphic>
              </wp:anchor>
            </w:drawing>
          </mc:Choice>
          <mc:Fallback>
            <w:pict>
              <v:shape w14:anchorId="29FBC593" id="Γραφική παράσταση 36" o:spid="_x0000_s1026" style="position:absolute;margin-left:71.3pt;margin-top:4.8pt;width:454.2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5768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" path="m,l5768340,e" filled="f" strokecolor="#bebebe" strokeweight=".8pt">
                <v:stroke dashstyle="1 1"/>
                <v:path arrowok="t"/>
                <w10:wrap type="topAndBottom" anchorx="page"/>
              </v:shape>
            </w:pict>
          </mc:Fallback>
        </mc:AlternateContent>
      </w:r>
    </w:p>
    <w:p w14:paraId="1E39AF7E" w14:textId="77777777" w:rsidR="007B1A84" w:rsidRDefault="002A0261" w:rsidP="003E0C33">
      <w:pPr>
        <w:pStyle w:val="BodyText"/>
        <w:spacing w:after="120"/>
        <w:ind w:left="25" w:right="433"/>
        <w:jc w:val="both"/>
      </w:pPr>
      <w:r>
        <w:t>Το Δικαστήριο έχει αποφανθεί ότι οι ΥΓΟΣ είναι υπηρεσίες που παρουσιάζουν ιδιαίτερα χαρακτηριστικά σε σύγκριση με άλλες οικονομικές δραστηριότητες που παρέχονται από τους συμμετέχοντες στην αγορά με βάση το εμπορικό τους συμφέρον.</w:t>
      </w:r>
    </w:p>
    <w:p w14:paraId="260E2CD2" w14:textId="3B332000" w:rsidR="007B1A84" w:rsidRDefault="002A0261" w:rsidP="003E0C33">
      <w:pPr>
        <w:pStyle w:val="BodyText"/>
        <w:spacing w:after="120"/>
        <w:ind w:left="25" w:right="412"/>
        <w:jc w:val="both"/>
      </w:pPr>
      <w:r>
        <w:t>Για να είναι επιλέξιμες για ΥΓΟΣ, οι ελληνικές αρχές αιτιολογούν ότι οι εν λόγω υπηρεσίες διαχείρισης αστικών αποβλήτων δεν μπορούν να παρασχεθούν ικανοποιητικά υπό τις συνθήκες της αγοράς και ότι οι απαιτούμενες επενδύσεις σε υποδομές διαχείρισης αποβλήτων (</w:t>
      </w:r>
      <w:r w:rsidR="007B4064">
        <w:rPr>
          <w:lang w:val="el-GR"/>
        </w:rPr>
        <w:t>ΜΑΑ</w:t>
      </w:r>
      <w:r>
        <w:t>) για τη μείωση των αποβλήτων σε χώρους υγειονομικής ταφής δεν μπορούν να πραγματοποιηθούν από την αγορά. Δηλαδή, οι ελληνικές αρχές θα πρέπει να αποδείξουν ότι οι επιχειρήσεις δεν έχουν επαρκή κίνητρα για την πραγματοποίηση των απαιτούμενων επενδύσεων σε ΜΑΑ και την άσκηση δραστηριοτήτων που συνδέονται με την επεξεργασία των αστικών αποβλήτων.</w:t>
      </w:r>
    </w:p>
    <w:p w14:paraId="08DA4909" w14:textId="5E72F31E" w:rsidR="007B1A84" w:rsidRDefault="002A0261" w:rsidP="003E0C33">
      <w:pPr>
        <w:pStyle w:val="BodyText"/>
        <w:spacing w:after="120"/>
        <w:ind w:left="25" w:right="415"/>
        <w:jc w:val="both"/>
      </w:pPr>
      <w:r>
        <w:t>Οι ΥΓΟΣ δεν μπορούν να συνδεθούν με υπηρεσίες που έχουν ήδη παρασχεθεί ή μπορούν να παρασχεθούν ικανοποιητικά υπό τους όρους της αγοράς. Εάν διαφορετικές υπηρεσίες του ΜΑΑ (επεξεργασία διαφορετικών ροών αποβλήτων) δεν μπορούν να διαχωριστούν</w:t>
      </w:r>
      <w:r w:rsidR="008E2E8B">
        <w:rPr>
          <w:rStyle w:val="FootnoteReference"/>
        </w:rPr>
        <w:footnoteReference w:id="51"/>
      </w:r>
      <w:r>
        <w:t xml:space="preserve"> δυνητικά συνολικές δραστηριότητες μιας οντότητας θα μπορούσαν να θεωρηθούν ΥΓΟΣ.</w:t>
      </w:r>
    </w:p>
    <w:p w14:paraId="3930A274" w14:textId="687EB93C" w:rsidR="007B1A84" w:rsidRDefault="002A0261" w:rsidP="003E0C33">
      <w:pPr>
        <w:pStyle w:val="BodyText"/>
        <w:spacing w:after="120"/>
        <w:ind w:left="25" w:right="409"/>
        <w:jc w:val="both"/>
      </w:pPr>
      <w:r>
        <w:t xml:space="preserve">Διαπιστώθηκε προηγουμένως ότι, για παράδειγμα, όταν τα αστικά </w:t>
      </w:r>
      <w:r w:rsidR="008E2E8B">
        <w:rPr>
          <w:lang w:val="el-GR"/>
        </w:rPr>
        <w:t>απόβλητα</w:t>
      </w:r>
      <w:r>
        <w:t xml:space="preserve"> συσκευασίας αναμειγνύονται με τα απόβλητα του συστήματος ΔΕΠ κατά τρόπο ώστε να μην είναι δυνατόν να προσδιοριστεί η προέλευση των διαφόρων ροών αποβλήτων πριν από την επεξεργασία/διαλογή των αποβλήτων, θα μπορούσε να δικαιολογηθεί το γεγονός ότι τα συνολικά απόβλητα που υποβάλλονται σε επεξεργασία από ΜΑΑ θεωρούνται ως μοναδική ΥΓΟΣ (100 % ΥΓΟΣ).</w:t>
      </w:r>
    </w:p>
    <w:p w14:paraId="19D52139" w14:textId="4B8BE721" w:rsidR="007B1A84" w:rsidRDefault="002A0261" w:rsidP="003E0C33">
      <w:pPr>
        <w:pStyle w:val="BodyText"/>
        <w:spacing w:after="120"/>
        <w:ind w:left="25" w:right="418"/>
        <w:jc w:val="both"/>
      </w:pPr>
      <w:r>
        <w:t>Στον τομέα της διαχείρισης αποβλήτων, δεν υπάρχουν ειδικοί κανόνες της ΕΕ που να καθορίζουν το πεδίο εφαρμογής των ΥΓΟΣ. Τα κράτη μέλη έχουν τη διακριτική ευχέρεια να ορίζουν μια συγκεκριμένη υπηρεσία ως ΥΓΟΣ. Στις περιπτώσεις αυτές, η αξιολόγηση της Ε</w:t>
      </w:r>
      <w:r w:rsidR="000033BD">
        <w:rPr>
          <w:lang w:val="el-GR"/>
        </w:rPr>
        <w:t>Ε</w:t>
      </w:r>
      <w:r>
        <w:t xml:space="preserve"> περιορίζεται στον έλεγχο του κατά πόσον το κράτος μέλος έχει υποπέσει σε πρόδηλο σφάλμα κατά τη λήψη απόφασης σχετικά με το κατά πόσον μια υπηρεσία μπορεί να παρασχεθεί ικανοποιητικά από την αγορά.</w:t>
      </w:r>
    </w:p>
    <w:p w14:paraId="20683C75" w14:textId="77777777" w:rsidR="007B1A84" w:rsidRDefault="002A0261" w:rsidP="003E0C33">
      <w:pPr>
        <w:pStyle w:val="BodyText"/>
        <w:spacing w:after="120"/>
        <w:ind w:left="25" w:right="413"/>
        <w:jc w:val="both"/>
      </w:pPr>
      <w:r>
        <w:t>Παραδείγματα των οποίων η Ευρωπαϊκή Επιτροπή αμφισβήτησε τις συμβάσεις ΥΓΟΣ λόγω ανεπαρκούς απόδειξης της ανάγκης ΥΓΟΣ για τις εν λόγω δημόσιες υπηρεσίες:</w:t>
      </w:r>
    </w:p>
    <w:p w14:paraId="59E4298C" w14:textId="347C9FFE" w:rsidR="007B1A84" w:rsidRDefault="002A0261" w:rsidP="003E0C33">
      <w:pPr>
        <w:pStyle w:val="P68B1DB1-a58"/>
        <w:numPr>
          <w:ilvl w:val="0"/>
          <w:numId w:val="9"/>
        </w:numPr>
        <w:tabs>
          <w:tab w:val="left" w:pos="810"/>
        </w:tabs>
        <w:spacing w:after="120"/>
        <w:ind w:right="420"/>
      </w:pPr>
      <w:r>
        <w:t xml:space="preserve">Με την πρόσφατη απόφαση της 23ης Φεβρουαρίου 2024, την υπόθεση κρατικής ενίσχυσης SA.101557, η Ευρωπαϊκή Επιτροπή θα διερευνήσει κατά πόσον μέρος των </w:t>
      </w:r>
      <w:r>
        <w:lastRenderedPageBreak/>
        <w:t xml:space="preserve">υπηρεσιών θαλάσσιων μεταφορών που ορίζονται από τη Γαλλία δικαιολογούνται από ανάγκες παροχής δημόσιας υπηρεσίας δεδομένης της παρουσίας εμπορικής αγοράς </w:t>
      </w:r>
      <w:hyperlink w:anchor="_bookmark72" w:history="1"/>
      <w:r w:rsidR="008E2E8B">
        <w:rPr>
          <w:rStyle w:val="FootnoteReference"/>
        </w:rPr>
        <w:footnoteReference w:id="52"/>
      </w:r>
      <w:r>
        <w:t>.</w:t>
      </w:r>
    </w:p>
    <w:p w14:paraId="211ABFEB" w14:textId="77777777" w:rsidR="007B1A84" w:rsidRDefault="002A0261" w:rsidP="003E0C33">
      <w:pPr>
        <w:pStyle w:val="P68B1DB1-a58"/>
        <w:numPr>
          <w:ilvl w:val="0"/>
          <w:numId w:val="9"/>
        </w:numPr>
        <w:tabs>
          <w:tab w:val="left" w:pos="808"/>
          <w:tab w:val="left" w:pos="810"/>
        </w:tabs>
        <w:spacing w:after="120"/>
        <w:ind w:right="413"/>
      </w:pPr>
      <w:r>
        <w:t>Με την απόφαση της 15ης Δεκεμβρίου 2009, στην υπόθεση κρατικής ενίσχυσης SA.29818, στην ολλανδική υπόθεση στέγασης, η Ευρωπαϊκή Επιτροπή συμφώνησε με τους καταγγέλλοντες ότι το πεδίο εφαρμογής του ορισμού των ΥΓΟΣ για την κοινωνική στέγαση είναι υπερβολικά ευρύ, δηλαδή καλύπτει επίσης την κατασκευή ακριβών ενοικιαζόμενων κατοικιών που προσελκύουν πελάτες υψηλού εισοδήματος.</w:t>
      </w:r>
    </w:p>
    <w:p w14:paraId="1A416EF8" w14:textId="77777777" w:rsidR="007B1A84" w:rsidRDefault="002A0261" w:rsidP="003E0C33">
      <w:pPr>
        <w:pStyle w:val="BodyText"/>
        <w:spacing w:after="120"/>
        <w:ind w:left="25" w:right="426"/>
        <w:jc w:val="both"/>
      </w:pPr>
      <w:r>
        <w:t>Πριν αποφασίσουν να υποβάλουν αίτηση για ΥΓΟΣ, οι ελληνικές αρχές θα πρέπει να αναλύσουν τη δυνητική εξέλιξη της αγοράς στην Ελλάδα για τις υπό εξέταση υπηρεσίες, εντός της αναμενόμενης περιόδου ανάθεσης. Αυτό μπορεί να γίνει με διαβούλευση με τους συμμετέχοντες στην αγορά και με τη διενέργεια ανάλυσης των εξελίξεων της αγοράς σε άλλα κράτη μέλη, συμπεριλαμβανομένων σχετικών παραγόντων που ενδέχεται να επηρεάσουν την ανάπτυξη της αγοράς.</w:t>
      </w:r>
    </w:p>
    <w:p w14:paraId="5B4AD657" w14:textId="77777777" w:rsidR="007B1A84" w:rsidRDefault="002A0261" w:rsidP="003E0C33">
      <w:pPr>
        <w:pStyle w:val="BodyText"/>
        <w:spacing w:after="120"/>
        <w:ind w:left="25" w:right="410"/>
        <w:jc w:val="both"/>
      </w:pPr>
      <w:r>
        <w:t>Σε περίπτωση διαφοράς, το κράτος μέλος πρέπει να υποβάλει στοιχεία ανάλυσης της αγοράς για να αιτιολογήσει την εκτίμησή του σχετικά με την πραγματική ανάγκη για ΥΓΟΣ και να αιτιολογήσει το πεδίο εφαρμογής της ΥΓΟΣ που αποσκοπεί στο γενικό ή δημόσιο συμφέρον.</w:t>
      </w:r>
    </w:p>
    <w:p w14:paraId="72A19489" w14:textId="77777777" w:rsidR="007B1A84" w:rsidRDefault="002A0261" w:rsidP="003E0C33">
      <w:pPr>
        <w:pStyle w:val="BodyText"/>
        <w:spacing w:after="120"/>
        <w:ind w:left="25" w:right="427"/>
        <w:jc w:val="both"/>
      </w:pPr>
      <w:r>
        <w:t>Οι προϋποθέσεις που απαιτούνται από το κράτος και οι οποίες η αγορά δεν θα μπορούσε να παραδώσει μόνη της (δηλαδή χωρίς την παρέμβαση του κράτους) μπορεί να είναι οι ακόλουθες:</w:t>
      </w:r>
    </w:p>
    <w:p w14:paraId="3BCC39D7" w14:textId="77777777" w:rsidR="007B1A84" w:rsidRDefault="002A0261" w:rsidP="003E0C33">
      <w:pPr>
        <w:pStyle w:val="P68B1DB1-a58"/>
        <w:numPr>
          <w:ilvl w:val="0"/>
          <w:numId w:val="8"/>
        </w:numPr>
        <w:tabs>
          <w:tab w:val="left" w:pos="745"/>
        </w:tabs>
        <w:spacing w:after="120"/>
        <w:ind w:left="745" w:hanging="352"/>
        <w:jc w:val="left"/>
      </w:pPr>
      <w:r>
        <w:t>Τιμή,</w:t>
      </w:r>
    </w:p>
    <w:p w14:paraId="24D3C081" w14:textId="77777777" w:rsidR="007B1A84" w:rsidRDefault="002A0261" w:rsidP="003E0C33">
      <w:pPr>
        <w:pStyle w:val="P68B1DB1-a58"/>
        <w:numPr>
          <w:ilvl w:val="0"/>
          <w:numId w:val="8"/>
        </w:numPr>
        <w:tabs>
          <w:tab w:val="left" w:pos="745"/>
        </w:tabs>
        <w:spacing w:after="120"/>
        <w:ind w:left="745" w:hanging="352"/>
        <w:jc w:val="left"/>
      </w:pPr>
      <w:r>
        <w:t>Αντικειμενικά κριτήρια ποιότητας,</w:t>
      </w:r>
    </w:p>
    <w:p w14:paraId="6A8CCEB5" w14:textId="77777777" w:rsidR="007B1A84" w:rsidRDefault="002A0261" w:rsidP="003E0C33">
      <w:pPr>
        <w:pStyle w:val="P68B1DB1-a58"/>
        <w:numPr>
          <w:ilvl w:val="0"/>
          <w:numId w:val="8"/>
        </w:numPr>
        <w:tabs>
          <w:tab w:val="left" w:pos="745"/>
        </w:tabs>
        <w:spacing w:after="120"/>
        <w:ind w:left="745" w:hanging="352"/>
        <w:jc w:val="left"/>
      </w:pPr>
      <w:r>
        <w:t>Συνέχεια,</w:t>
      </w:r>
    </w:p>
    <w:p w14:paraId="36E2D849" w14:textId="77777777" w:rsidR="007B1A84" w:rsidRDefault="002A0261" w:rsidP="003E0C33">
      <w:pPr>
        <w:pStyle w:val="P68B1DB1-a58"/>
        <w:numPr>
          <w:ilvl w:val="0"/>
          <w:numId w:val="8"/>
        </w:numPr>
        <w:tabs>
          <w:tab w:val="left" w:pos="745"/>
        </w:tabs>
        <w:spacing w:after="120"/>
        <w:ind w:left="745" w:hanging="352"/>
        <w:jc w:val="left"/>
      </w:pPr>
      <w:r>
        <w:t>Πρόσβαση.</w:t>
      </w:r>
    </w:p>
    <w:p w14:paraId="37903CE4" w14:textId="77777777" w:rsidR="007B1A84" w:rsidRDefault="002A0261" w:rsidP="003E0C33">
      <w:pPr>
        <w:pStyle w:val="BodyText"/>
        <w:spacing w:after="120"/>
        <w:ind w:left="25"/>
        <w:jc w:val="both"/>
      </w:pPr>
      <w:r>
        <w:t>Στην περίπτωση της Ελλάδας, ενδέχεται να εξεταστούν οι ακόλουθες πιθανές ελλείψεις:</w:t>
      </w:r>
    </w:p>
    <w:p w14:paraId="337CBE89" w14:textId="164578C0" w:rsidR="007B1A84" w:rsidRDefault="002A0261" w:rsidP="003E0C33">
      <w:pPr>
        <w:pStyle w:val="P68B1DB1-a58"/>
        <w:numPr>
          <w:ilvl w:val="0"/>
          <w:numId w:val="8"/>
        </w:numPr>
        <w:tabs>
          <w:tab w:val="left" w:pos="745"/>
        </w:tabs>
        <w:spacing w:after="120"/>
        <w:ind w:left="745" w:hanging="352"/>
        <w:jc w:val="left"/>
      </w:pPr>
      <w:r>
        <w:t xml:space="preserve">Έλλειψη </w:t>
      </w:r>
      <w:r w:rsidR="000D0834">
        <w:rPr>
          <w:lang w:val="el-GR"/>
        </w:rPr>
        <w:t>δυναμικότητας</w:t>
      </w:r>
      <w:r>
        <w:t xml:space="preserve"> όσον αφορά τη διαλογή ανακυκλώσιμων υλικών,</w:t>
      </w:r>
    </w:p>
    <w:p w14:paraId="53A66117" w14:textId="3C195D54" w:rsidR="007B1A84" w:rsidRDefault="002A0261" w:rsidP="003E0C33">
      <w:pPr>
        <w:pStyle w:val="P68B1DB1-a58"/>
        <w:numPr>
          <w:ilvl w:val="0"/>
          <w:numId w:val="8"/>
        </w:numPr>
        <w:tabs>
          <w:tab w:val="left" w:pos="745"/>
        </w:tabs>
        <w:spacing w:after="120"/>
        <w:ind w:left="745" w:hanging="352"/>
        <w:jc w:val="left"/>
      </w:pPr>
      <w:r>
        <w:t xml:space="preserve">Έλλειψη εγκαταστάσεων για την ανάκτηση </w:t>
      </w:r>
      <w:r w:rsidR="000D0834">
        <w:rPr>
          <w:lang w:val="el-GR"/>
        </w:rPr>
        <w:t>συμμείκτων</w:t>
      </w:r>
      <w:r>
        <w:t xml:space="preserve"> αστικών αποβλήτων από νοικοκυριά,</w:t>
      </w:r>
    </w:p>
    <w:p w14:paraId="30E78899" w14:textId="77777777" w:rsidR="007B1A84" w:rsidRDefault="002A0261" w:rsidP="003E0C33">
      <w:pPr>
        <w:pStyle w:val="P68B1DB1-a58"/>
        <w:numPr>
          <w:ilvl w:val="0"/>
          <w:numId w:val="8"/>
        </w:numPr>
        <w:tabs>
          <w:tab w:val="left" w:pos="746"/>
        </w:tabs>
        <w:spacing w:after="120"/>
        <w:ind w:right="427"/>
        <w:jc w:val="left"/>
      </w:pPr>
      <w:r>
        <w:t>Ανάγκη αναβάθμισης των υφιστάμενων εγκαταστάσεων (αυξημένη δυναμικότητα, πρόσθετες μονάδες επεξεργασίας αποβλήτων και μονάδες ανάκτησης ανακύκλωσης κ.λπ.),</w:t>
      </w:r>
    </w:p>
    <w:p w14:paraId="3D7015DF" w14:textId="77777777" w:rsidR="007B1A84" w:rsidRDefault="002A0261" w:rsidP="003E0C33">
      <w:pPr>
        <w:pStyle w:val="P68B1DB1-a58"/>
        <w:numPr>
          <w:ilvl w:val="0"/>
          <w:numId w:val="8"/>
        </w:numPr>
        <w:tabs>
          <w:tab w:val="left" w:pos="745"/>
        </w:tabs>
        <w:spacing w:after="120"/>
        <w:ind w:left="745" w:hanging="352"/>
        <w:jc w:val="left"/>
      </w:pPr>
      <w:r>
        <w:t>Ανάγκη για εξειδικευμένες εγκαταστάσεις για ορισμένα είδη αποβλήτων,</w:t>
      </w:r>
    </w:p>
    <w:p w14:paraId="1003E002" w14:textId="77777777" w:rsidR="007B1A84" w:rsidRDefault="002A0261" w:rsidP="003E0C33">
      <w:pPr>
        <w:pStyle w:val="P68B1DB1-a58"/>
        <w:numPr>
          <w:ilvl w:val="0"/>
          <w:numId w:val="8"/>
        </w:numPr>
        <w:tabs>
          <w:tab w:val="left" w:pos="745"/>
        </w:tabs>
        <w:spacing w:after="120"/>
        <w:ind w:left="745" w:hanging="352"/>
        <w:jc w:val="left"/>
      </w:pPr>
      <w:r>
        <w:t>Ανάγκη μείωσης των αποβλήτων που αποστέλλονται σε χώρους υγειονομικής ταφής.</w:t>
      </w:r>
    </w:p>
    <w:p w14:paraId="7FB577F3" w14:textId="30B691CA" w:rsidR="007B1A84" w:rsidRDefault="002A0261" w:rsidP="003E0C33">
      <w:pPr>
        <w:pStyle w:val="BodyText"/>
        <w:spacing w:after="120"/>
        <w:ind w:left="25" w:right="407"/>
        <w:jc w:val="both"/>
      </w:pPr>
      <w:r>
        <w:t>Αρκετές εκθέσεις που εκδόθηκαν το 2022 και το 2023 περιγράφουν ότι η Ελλάδα</w:t>
      </w:r>
      <w:r w:rsidR="000D0834">
        <w:rPr>
          <w:rStyle w:val="FootnoteReference"/>
        </w:rPr>
        <w:footnoteReference w:id="53"/>
      </w:r>
      <w:r>
        <w:t xml:space="preserve"> απέτυχε να θεσπίσει αποτελεσματικά </w:t>
      </w:r>
      <w:r w:rsidR="000D0834">
        <w:rPr>
          <w:lang w:val="el-GR"/>
        </w:rPr>
        <w:t>οικονομικά εργαλεία</w:t>
      </w:r>
      <w:r>
        <w:t xml:space="preserve"> (όπως </w:t>
      </w:r>
      <w:r w:rsidR="000D0834">
        <w:rPr>
          <w:lang w:val="el-GR"/>
        </w:rPr>
        <w:t>το τέλος ταφής, ΠΟΠ</w:t>
      </w:r>
      <w:r>
        <w:t xml:space="preserve"> </w:t>
      </w:r>
      <w:r w:rsidR="000D0834">
        <w:rPr>
          <w:lang w:val="el-GR"/>
        </w:rPr>
        <w:t xml:space="preserve"> κλπ</w:t>
      </w:r>
      <w:r>
        <w:t>) σε εύθετο χρόνο. Όταν οι υπηρεσίες δεν αμείβονται επαρκώς, δεν είναι εύλογο να αναμένεται ότι οι δυνάμεις της αγοράς θα δεσμευτούν να επενδύσουν χωρίς σημαντική συνεισφορά από δημόσιους πόρους.</w:t>
      </w:r>
    </w:p>
    <w:p w14:paraId="6FC7B390" w14:textId="77777777" w:rsidR="007B1A84" w:rsidRDefault="002A0261" w:rsidP="003E0C33">
      <w:pPr>
        <w:pStyle w:val="P68B1DB1-a334"/>
        <w:spacing w:after="120"/>
        <w:ind w:left="25"/>
        <w:jc w:val="both"/>
      </w:pPr>
      <w:r>
        <w:t>Συμπεράσματα/συστάσεις</w:t>
      </w:r>
    </w:p>
    <w:p w14:paraId="5B40991E" w14:textId="77777777" w:rsidR="007B1A84" w:rsidRDefault="002A0261" w:rsidP="003E0C33">
      <w:pPr>
        <w:pStyle w:val="P68B1DB1-a58"/>
        <w:numPr>
          <w:ilvl w:val="1"/>
          <w:numId w:val="9"/>
        </w:numPr>
        <w:tabs>
          <w:tab w:val="left" w:pos="744"/>
          <w:tab w:val="left" w:pos="746"/>
        </w:tabs>
        <w:spacing w:after="120"/>
        <w:ind w:right="440"/>
      </w:pPr>
      <w:r>
        <w:t>Στον τομέα της διαχείρισης αποβλήτων, δεν υπάρχουν ειδικοί κανόνες της ΕΕ που να καθορίζουν το πεδίο εφαρμογής μιας ΥΓΟΣ. Τα κράτη μέλη έχουν τη διακριτική ευχέρεια να αποφασίσουν πώς θα ορίσουν μια υπηρεσία ως ΥΓΟΣ.</w:t>
      </w:r>
    </w:p>
    <w:p w14:paraId="583EECD6" w14:textId="77777777" w:rsidR="007B1A84" w:rsidRDefault="002A0261" w:rsidP="003E0C33">
      <w:pPr>
        <w:pStyle w:val="P68B1DB1-a58"/>
        <w:numPr>
          <w:ilvl w:val="1"/>
          <w:numId w:val="9"/>
        </w:numPr>
        <w:tabs>
          <w:tab w:val="left" w:pos="744"/>
          <w:tab w:val="left" w:pos="746"/>
        </w:tabs>
        <w:spacing w:after="120"/>
        <w:ind w:right="427"/>
      </w:pPr>
      <w:r>
        <w:lastRenderedPageBreak/>
        <w:t>Κατά τον καθορισμό του πεδίου εφαρμογής των ΥΓΟΣ, οι ελληνικές αρχές πρέπει να αξιολογούν ποιες υπηρεσίες (γιατί και σε ποιο βαθμό) δεν μπορούν να παρασχεθούν από τις δυνάμεις της αγοράς.</w:t>
      </w:r>
    </w:p>
    <w:p w14:paraId="0110BEE3" w14:textId="77777777" w:rsidR="007B1A84" w:rsidRDefault="002A0261" w:rsidP="003E0C33">
      <w:pPr>
        <w:pStyle w:val="P68B1DB1-a58"/>
        <w:numPr>
          <w:ilvl w:val="1"/>
          <w:numId w:val="9"/>
        </w:numPr>
        <w:tabs>
          <w:tab w:val="left" w:pos="744"/>
          <w:tab w:val="left" w:pos="746"/>
        </w:tabs>
        <w:spacing w:after="120"/>
        <w:ind w:right="397"/>
      </w:pPr>
      <w:r>
        <w:t>Οι όροι της τιμής, τα αντικειμενικά κριτήρια ποιότητας, η συνέχεια και η πρόσβαση — μπορούν να χρησιμοποιηθούν για να δικαιολογήσουν ότι η αγορά δεν είναι σε θέση να παρέχει τις υπηρεσίες που απαιτούνται από το κράτος από μόνη της. Ταυτόχρονα, οι οδηγίες της ΕΕ επιβάλλουν υποχρεώσεις στα κράτη μέλη να θεσπίσουν αποτελεσματικές στρατηγικές και μέσα πολιτικής, συμπεριλαμβανομένων χρηματοδοτικών μέσων για την επίτευξη των στόχων που καθορίζονται στις οδηγίες της ΕΕ για τη βελτίωση της διαχείρισης των αστικών αποβλήτων.</w:t>
      </w:r>
    </w:p>
    <w:p w14:paraId="7A77C894" w14:textId="77777777" w:rsidR="007B1A84" w:rsidRDefault="007B1A84" w:rsidP="003E0C33">
      <w:pPr>
        <w:pStyle w:val="BodyText"/>
        <w:spacing w:after="120"/>
      </w:pPr>
    </w:p>
    <w:p w14:paraId="6056C5DC" w14:textId="77777777" w:rsidR="007B1A84" w:rsidRDefault="002A0261" w:rsidP="003E0C33">
      <w:pPr>
        <w:pStyle w:val="P68B1DB1-a535"/>
        <w:numPr>
          <w:ilvl w:val="0"/>
          <w:numId w:val="12"/>
        </w:numPr>
        <w:tabs>
          <w:tab w:val="left" w:pos="391"/>
        </w:tabs>
        <w:spacing w:after="120"/>
        <w:ind w:left="391" w:hanging="366"/>
        <w:rPr>
          <w:sz w:val="29"/>
        </w:rPr>
      </w:pPr>
      <w:r>
        <w:rPr>
          <w:sz w:val="29"/>
        </w:rPr>
        <w:t>ΠΕΡΊΟΔΟΣ</w:t>
      </w:r>
      <w:r>
        <w:rPr>
          <w:sz w:val="29"/>
        </w:rPr>
        <w:t xml:space="preserve"> </w:t>
      </w:r>
      <w:r>
        <w:rPr>
          <w:sz w:val="29"/>
        </w:rPr>
        <w:t>ΑΝΆΘΕΣΗΣ</w:t>
      </w:r>
      <w:r>
        <w:rPr>
          <w:sz w:val="29"/>
        </w:rPr>
        <w:t xml:space="preserve"> </w:t>
      </w:r>
      <w:r>
        <w:rPr>
          <w:sz w:val="29"/>
        </w:rPr>
        <w:t>ΥΓΟΣ</w:t>
      </w:r>
      <w:r>
        <w:rPr>
          <w:sz w:val="29"/>
        </w:rPr>
        <w:t xml:space="preserve"> </w:t>
      </w:r>
    </w:p>
    <w:p w14:paraId="7BF1641B" w14:textId="77777777" w:rsidR="007B1A84" w:rsidRDefault="002A0261" w:rsidP="003E0C33">
      <w:pPr>
        <w:pStyle w:val="P68B1DB1-a336"/>
        <w:spacing w:after="120"/>
      </w:pPr>
      <w:r>
        <w:rPr>
          <w:noProof/>
        </w:rPr>
        <mc:AlternateContent>
          <mc:Choice Requires="wps">
            <w:drawing>
              <wp:anchor distT="0" distB="0" distL="0" distR="0" simplePos="0" relativeHeight="487602688" behindDoc="1" locked="0" layoutInCell="1" allowOverlap="1" wp14:anchorId="23292389" wp14:editId="7C450666">
                <wp:simplePos x="0" y="0"/>
                <wp:positionH relativeFrom="page">
                  <wp:posOffset>905510</wp:posOffset>
                </wp:positionH>
                <wp:positionV relativeFrom="paragraph">
                  <wp:posOffset>62374</wp:posOffset>
                </wp:positionV>
                <wp:extent cx="5768340" cy="1270"/>
                <wp:effectExtent l="0" t="0" r="0" b="0"/>
                <wp:wrapTopAndBottom/>
                <wp:docPr id="38" name="Γραφική παράσταση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270"/>
                        </a:xfrm>
                        <a:custGeom>
                          <a:avLst/>
                          <a:gdLst/>
                          <a:ahLst/>
                          <a:cxnLst/>
                          <a:rect l="l" t="t" r="r" b="b"/>
                          <a:pathLst>
                            <a:path w="5768340">
                              <a:moveTo>
                                <a:pt x="0" y="0"/>
                              </a:moveTo>
                              <a:lnTo>
                                <a:pt x="5768340" y="0"/>
                              </a:lnTo>
                            </a:path>
                          </a:pathLst>
                        </a:custGeom>
                        <a:ln w="10160">
                          <a:solidFill>
                            <a:srgbClr val="BEBEBE"/>
                          </a:solidFill>
                          <a:prstDash val="sysDot"/>
                        </a:ln>
                      </wps:spPr>
                      <wps:bodyPr wrap="square" lIns="0" tIns="0" rIns="0" bIns="0" rtlCol="0">
                        <a:prstTxWarp prst="textNoShape">
                          <a:avLst/>
                        </a:prstTxWarp>
                        <a:noAutofit/>
                      </wps:bodyPr>
                    </wps:wsp>
                  </a:graphicData>
                </a:graphic>
              </wp:anchor>
            </w:drawing>
          </mc:Choice>
          <mc:Fallback>
            <w:pict>
              <v:shape w14:anchorId="25324238" id="Γραφική παράσταση 38" o:spid="_x0000_s1026" style="position:absolute;margin-left:71.3pt;margin-top:4.9pt;width:454.2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5768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" path="m,l5768340,e" filled="f" strokecolor="#bebebe" strokeweight=".8pt">
                <v:stroke dashstyle="1 1"/>
                <v:path arrowok="t"/>
                <w10:wrap type="topAndBottom" anchorx="page"/>
              </v:shape>
            </w:pict>
          </mc:Fallback>
        </mc:AlternateContent>
      </w:r>
    </w:p>
    <w:p w14:paraId="769A622E" w14:textId="77777777" w:rsidR="007B1A84" w:rsidRDefault="002A0261" w:rsidP="003E0C33">
      <w:pPr>
        <w:pStyle w:val="BodyText"/>
        <w:spacing w:after="120"/>
        <w:ind w:left="25" w:right="420"/>
        <w:jc w:val="both"/>
      </w:pPr>
      <w:r>
        <w:t>Τα κράτη μέλη, κατά την υλοποίηση των ΥΓΟΣ, πρέπει να προβαίνουν σε προσεκτική αξιολόγηση της μέγιστης διάρκειας της υπηρεσίας, λαμβάνοντας υπόψη την αναμενόμενη εξέλιξη της αγοράς, συμπεριλαμβανομένων των τοπικών και/ή παγκόσμιων τάσεων της αγοράς στη συγκεκριμένη περιοχή.</w:t>
      </w:r>
    </w:p>
    <w:p w14:paraId="1BB58104" w14:textId="77777777" w:rsidR="007B1A84" w:rsidRDefault="002A0261" w:rsidP="003E0C33">
      <w:pPr>
        <w:pStyle w:val="BodyText"/>
        <w:spacing w:after="120"/>
        <w:ind w:left="25" w:right="425"/>
        <w:jc w:val="both"/>
      </w:pPr>
      <w:r>
        <w:t>Η διάρκεια της περιόδου ανάθεσης μπορεί να διαφέρει ανάλογα με το ισχύον νομικό πλαίσιο των ΥΓΟΣ. Λεπτομερείς πληροφορίες παρέχονται στο κύριο μέρος του παρόντος σημειώματος.</w:t>
      </w:r>
    </w:p>
    <w:p w14:paraId="68DD94AA" w14:textId="77777777" w:rsidR="007B1A84" w:rsidRDefault="002A0261" w:rsidP="003E0C33">
      <w:pPr>
        <w:pStyle w:val="BodyText"/>
        <w:spacing w:after="120"/>
        <w:ind w:left="25" w:right="420"/>
        <w:jc w:val="both"/>
      </w:pPr>
      <w:r>
        <w:t>Η αντιστάθμιση ΥΓΟΣ επηρεάζει τις συναλλαγές και τον ανταγωνισμό ανάλογα με τη συνολική διάρκεια της περιόδου ανάθεσης — μεγαλύτερη περίοδος ανάθεσης από ό,τι αντικειμενικά απαιτείται περιορίζει τον αποτελεσματικό ανταγωνισμό. Κανονικά, η περίοδος ανάθεσης της ΥΓΟΣ δεν μπορεί να υπερβαίνει τα 10 έτη.</w:t>
      </w:r>
    </w:p>
    <w:p w14:paraId="179D33B3" w14:textId="77777777" w:rsidR="007B1A84" w:rsidRDefault="002A0261" w:rsidP="003E0C33">
      <w:pPr>
        <w:pStyle w:val="BodyText"/>
        <w:spacing w:after="120"/>
        <w:ind w:left="25" w:right="412"/>
        <w:jc w:val="both"/>
      </w:pPr>
      <w:r>
        <w:t>Εάν απαιτούνται σημαντικές επενδύσεις από τον πάροχο υπηρεσιών που πρέπει να αποσβεσθούν για μεγαλύτερο χρονικό διάστημα σύμφωνα με τις γενικά αποδεκτές λογιστικές αρχές, μπορούν να εφαρμοστούν περίοδοι μεγαλύτερες των 10 ετών.</w:t>
      </w:r>
    </w:p>
    <w:p w14:paraId="04D509C3" w14:textId="77777777" w:rsidR="007B1A84" w:rsidRDefault="002A0261" w:rsidP="003E0C33">
      <w:pPr>
        <w:pStyle w:val="BodyText"/>
        <w:spacing w:after="120"/>
        <w:ind w:left="25" w:right="419"/>
        <w:jc w:val="both"/>
      </w:pPr>
      <w:r>
        <w:t>Είναι σημαντικό να εκτιμηθεί ορθά η αναγκαία μέγιστη διάρκεια μιας ανάθεσης ΥΓΟΣ. Όταν, κατά τη διάρκεια μιας περιόδου ανάθεσης ΥΓΟΣ, μέρος των υπηρεσιών μετατρέπεται σε υπηρεσίες της αγοράς (υπηρεσίες πλήρους κόστους για τις οποίες δεν απαιτείται αντιστάθμιση), θα απαιτείται διόρθωση λόγω υπερβολικής κρατικής ενίσχυσης.</w:t>
      </w:r>
    </w:p>
    <w:p w14:paraId="7BE42600" w14:textId="77777777" w:rsidR="007B1A84" w:rsidRDefault="002A0261" w:rsidP="003E0C33">
      <w:pPr>
        <w:pStyle w:val="BodyText"/>
        <w:spacing w:after="120"/>
        <w:ind w:left="25" w:right="397"/>
        <w:jc w:val="both"/>
      </w:pPr>
      <w:r>
        <w:t>Σε ορισμένα κράτη μέλη μπορεί εύλογα να τεκμαίρεται ότι η υπηρεσία θα συνεχιστεί ως ΥΓΟΣ και μετά την αρχική δεκαετή περίοδο και η ΥΓΟΣ θα ανατεθεί εκ νέου στον ίδιο πάροχο ΥΓΟΣ, λαμβανομένων υπόψη των ιδιαιτεροτήτων της οικείας χώρας. Σε μια τέτοια περίπτωση, προσωρινά, μια σύμβαση ΥΓΟΣ μπορεί να υπογραφεί για τη συνολική περίοδο της οικονομικής χρήσης του περιουσιακού στοιχείου, μπορεί να περιέχει ρήτρα καταγγελίας μετά από οποιαδήποτε διαδοχική δεκαετή περίοδο, εάν η συνέχιση μιας ΥΓΟΣ δεν δικαιολογείται εάν ληφθούν υπόψη οι εξελίξεις της αγοράς ή οι αλλαγές στο νομικό πλαίσιο της ΕΕ.</w:t>
      </w:r>
    </w:p>
    <w:p w14:paraId="7A92B59F" w14:textId="3750FE92" w:rsidR="007B1A84" w:rsidRDefault="002A0261" w:rsidP="003E0C33">
      <w:pPr>
        <w:pStyle w:val="BodyText"/>
        <w:spacing w:after="120"/>
        <w:ind w:left="25" w:right="404"/>
        <w:jc w:val="both"/>
      </w:pPr>
      <w:r>
        <w:t>Λαμβανομένης υπόψη της εμπειρίας άλλων κρατών μελών</w:t>
      </w:r>
      <w:hyperlink w:anchor="_bookmark74" w:history="1">
        <w:r w:rsidR="00D27B95">
          <w:rPr>
            <w:rStyle w:val="FootnoteReference"/>
          </w:rPr>
          <w:footnoteReference w:id="54"/>
        </w:r>
        <w:r>
          <w:rPr>
            <w:vertAlign w:val="superscript"/>
          </w:rPr>
          <w:t>,</w:t>
        </w:r>
      </w:hyperlink>
      <w:r>
        <w:t xml:space="preserve"> 10-15 έτη θα μπορούσαν να θεωρηθούν εύλογες περίοδοι πριν από τη θέσπιση λειτουργικών συνθηκών στην αγορά στον τομέα της διαχείρισης αποβλήτων.</w:t>
      </w:r>
    </w:p>
    <w:p w14:paraId="694E9D0E" w14:textId="77777777" w:rsidR="007B1A84" w:rsidRDefault="002A0261" w:rsidP="003E0C33">
      <w:pPr>
        <w:pStyle w:val="BodyText"/>
        <w:spacing w:after="120"/>
        <w:ind w:left="25" w:right="432"/>
        <w:jc w:val="both"/>
      </w:pPr>
      <w:r>
        <w:t xml:space="preserve">Σε ορισμένες περιπτώσεις, η περίοδος υπολογισμού του ελλείμματος χρηματοδότησης υπερβαίνει </w:t>
      </w:r>
      <w:r>
        <w:lastRenderedPageBreak/>
        <w:t>την περίοδο ανάθεσης ΥΓΟΣ. Λεπτομέρειες παρέχονται στον πίνακα 6 στο κύριο μέρος του παρόντος σημειώματος.</w:t>
      </w:r>
    </w:p>
    <w:p w14:paraId="07EC0B84" w14:textId="77777777" w:rsidR="007B1A84" w:rsidRDefault="002A0261" w:rsidP="003E0C33">
      <w:pPr>
        <w:pStyle w:val="P68B1DB1-a334"/>
        <w:spacing w:after="120"/>
        <w:ind w:left="25"/>
        <w:jc w:val="both"/>
      </w:pPr>
      <w:r>
        <w:t>Συμπεράσματα/συστάσεις</w:t>
      </w:r>
    </w:p>
    <w:p w14:paraId="058269E0" w14:textId="77777777" w:rsidR="007B1A84" w:rsidRDefault="002A0261" w:rsidP="003E0C33">
      <w:pPr>
        <w:pStyle w:val="P68B1DB1-a58"/>
        <w:numPr>
          <w:ilvl w:val="0"/>
          <w:numId w:val="6"/>
        </w:numPr>
        <w:tabs>
          <w:tab w:val="left" w:pos="744"/>
          <w:tab w:val="left" w:pos="746"/>
        </w:tabs>
        <w:spacing w:after="120"/>
        <w:ind w:right="429"/>
      </w:pPr>
      <w:r>
        <w:t>Να εξεταστεί προσεκτικά η διάρκεια της ανάθεσης ΥΓΟΣ. Η περίοδος απόσβεσης των στοιχείων ενεργητικού δεν θα πρέπει να θεωρείται ως το μόνο στοιχείο που καθορίζει τη διάρκεια μιας ΥΓΟΣ.</w:t>
      </w:r>
    </w:p>
    <w:p w14:paraId="03AF626D" w14:textId="77777777" w:rsidR="007B1A84" w:rsidRPr="00BA700B" w:rsidRDefault="002A0261" w:rsidP="00C04879">
      <w:pPr>
        <w:pStyle w:val="P68B1DB1-a58"/>
        <w:numPr>
          <w:ilvl w:val="0"/>
          <w:numId w:val="6"/>
        </w:numPr>
        <w:tabs>
          <w:tab w:val="left" w:pos="744"/>
          <w:tab w:val="left" w:pos="746"/>
        </w:tabs>
        <w:spacing w:after="120"/>
        <w:ind w:right="402"/>
        <w:rPr>
          <w:sz w:val="17"/>
        </w:rPr>
      </w:pPr>
      <w:r>
        <w:t>Στην ιδανική περίπτωση, η περίοδος υπολογισμού του κενού χρηματοδότησης θα πρέπει να αντιστοιχεί στην περίοδο ανάθεσης. Εάν η περίοδος ανάθεσης ΥΓΟΣ είναι συντομότερη ή λόγω των εξελίξεων της αγοράς, η ανάθεση ΥΓΟΣ τερματίζεται πριν από τη λήξη της περιόδου ανάθεσης, πρέπει να πραγματοποιηθεί εκ νέου υπολογισμός του χρηματοδοτικού κενού και να ανακτηθούν τα πλεονάζοντα δημόσια κονδύλια ως ασυμβίβαστες κρατικές ενισχύσεις.</w:t>
      </w:r>
    </w:p>
    <w:p w14:paraId="3077E2CA" w14:textId="77777777" w:rsidR="00BA700B" w:rsidRDefault="00BA700B" w:rsidP="00BA700B">
      <w:pPr>
        <w:pStyle w:val="P68B1DB1-a58"/>
        <w:tabs>
          <w:tab w:val="left" w:pos="744"/>
          <w:tab w:val="left" w:pos="746"/>
        </w:tabs>
        <w:spacing w:after="120"/>
        <w:ind w:right="402"/>
        <w:rPr>
          <w:lang w:val="el-GR"/>
        </w:rPr>
      </w:pPr>
    </w:p>
    <w:p w14:paraId="6B6F245E" w14:textId="77777777" w:rsidR="007B1A84" w:rsidRPr="000E3B35" w:rsidRDefault="002A0261" w:rsidP="003E0C33">
      <w:pPr>
        <w:pStyle w:val="P68B1DB1-137"/>
        <w:numPr>
          <w:ilvl w:val="0"/>
          <w:numId w:val="12"/>
        </w:numPr>
        <w:tabs>
          <w:tab w:val="left" w:pos="378"/>
        </w:tabs>
        <w:spacing w:before="0" w:after="120"/>
        <w:ind w:left="378" w:hanging="353"/>
        <w:rPr>
          <w:caps/>
          <w:smallCaps w:val="0"/>
        </w:rPr>
      </w:pPr>
      <w:r w:rsidRPr="000E3B35">
        <w:rPr>
          <w:caps/>
          <w:smallCaps w:val="0"/>
        </w:rPr>
        <w:t>Επιστροφή υπεραντιστάθμισης</w:t>
      </w:r>
    </w:p>
    <w:p w14:paraId="21D30B2F" w14:textId="77777777" w:rsidR="007B1A84" w:rsidRDefault="002A0261" w:rsidP="003E0C33">
      <w:pPr>
        <w:pStyle w:val="P68B1DB1-a338"/>
        <w:spacing w:after="120"/>
      </w:pPr>
      <w:r>
        <w:rPr>
          <w:noProof/>
        </w:rPr>
        <mc:AlternateContent>
          <mc:Choice Requires="wps">
            <w:drawing>
              <wp:anchor distT="0" distB="0" distL="0" distR="0" simplePos="0" relativeHeight="487604224" behindDoc="1" locked="0" layoutInCell="1" allowOverlap="1" wp14:anchorId="35EF8541" wp14:editId="40D7F185">
                <wp:simplePos x="0" y="0"/>
                <wp:positionH relativeFrom="page">
                  <wp:posOffset>905510</wp:posOffset>
                </wp:positionH>
                <wp:positionV relativeFrom="paragraph">
                  <wp:posOffset>52067</wp:posOffset>
                </wp:positionV>
                <wp:extent cx="5768340" cy="1270"/>
                <wp:effectExtent l="0" t="0" r="0" b="0"/>
                <wp:wrapTopAndBottom/>
                <wp:docPr id="41" name="Γραφική παράσταση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270"/>
                        </a:xfrm>
                        <a:custGeom>
                          <a:avLst/>
                          <a:gdLst/>
                          <a:ahLst/>
                          <a:cxnLst/>
                          <a:rect l="l" t="t" r="r" b="b"/>
                          <a:pathLst>
                            <a:path w="5768340">
                              <a:moveTo>
                                <a:pt x="0" y="0"/>
                              </a:moveTo>
                              <a:lnTo>
                                <a:pt x="5768340" y="0"/>
                              </a:lnTo>
                            </a:path>
                          </a:pathLst>
                        </a:custGeom>
                        <a:ln w="10160">
                          <a:solidFill>
                            <a:srgbClr val="BEBEBE"/>
                          </a:solidFill>
                          <a:prstDash val="sysDot"/>
                        </a:ln>
                      </wps:spPr>
                      <wps:bodyPr wrap="square" lIns="0" tIns="0" rIns="0" bIns="0" rtlCol="0">
                        <a:prstTxWarp prst="textNoShape">
                          <a:avLst/>
                        </a:prstTxWarp>
                        <a:noAutofit/>
                      </wps:bodyPr>
                    </wps:wsp>
                  </a:graphicData>
                </a:graphic>
              </wp:anchor>
            </w:drawing>
          </mc:Choice>
          <mc:Fallback>
            <w:pict>
              <v:shape w14:anchorId="2D9988BC" id="Γραφική παράσταση 41" o:spid="_x0000_s1026" style="position:absolute;margin-left:71.3pt;margin-top:4.1pt;width:454.2pt;height:.1pt;z-index:-15712256;visibility:visible;mso-wrap-style:square;mso-wrap-distance-left:0;mso-wrap-distance-top:0;mso-wrap-distance-right:0;mso-wrap-distance-bottom:0;mso-position-horizontal:absolute;mso-position-horizontal-relative:page;mso-position-vertical:absolute;mso-position-vertical-relative:text;v-text-anchor:top" coordsize="5768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" path="m,l5768340,e" filled="f" strokecolor="#bebebe" strokeweight=".8pt">
                <v:stroke dashstyle="1 1"/>
                <v:path arrowok="t"/>
                <w10:wrap type="topAndBottom" anchorx="page"/>
              </v:shape>
            </w:pict>
          </mc:Fallback>
        </mc:AlternateContent>
      </w:r>
    </w:p>
    <w:p w14:paraId="3860C63E" w14:textId="77777777" w:rsidR="007B1A84" w:rsidRDefault="002A0261" w:rsidP="003E0C33">
      <w:pPr>
        <w:pStyle w:val="BodyText"/>
        <w:spacing w:after="120"/>
        <w:ind w:left="25" w:right="420"/>
        <w:jc w:val="both"/>
      </w:pPr>
      <w:r>
        <w:t>Ο έλεγχος της υπεραντιστάθμισης πραγματοποιείται σε ετήσια ή τριετή βάση, καθώς και στο τέλος της περιόδου ανάθεσης ΥΓΟΣ.</w:t>
      </w:r>
    </w:p>
    <w:p w14:paraId="73A20CE4" w14:textId="77777777" w:rsidR="007B1A84" w:rsidRDefault="002A0261" w:rsidP="00CC7ABE">
      <w:pPr>
        <w:pStyle w:val="BodyText"/>
        <w:spacing w:after="120"/>
        <w:ind w:left="25" w:right="420"/>
        <w:jc w:val="both"/>
      </w:pPr>
      <w:r>
        <w:t>Η επιστροφή της υπεραντιστάθμισης πραγματοποιείται σύμφωνα με την ανακοίνωση για την ανάκτηση κρατικών ενισχύσεων.</w:t>
      </w:r>
    </w:p>
    <w:p w14:paraId="2AD574E6" w14:textId="77777777" w:rsidR="007B1A84" w:rsidRDefault="002A0261" w:rsidP="003E0C33">
      <w:pPr>
        <w:pStyle w:val="BodyText"/>
        <w:spacing w:after="120"/>
        <w:ind w:left="25" w:right="422"/>
        <w:jc w:val="both"/>
      </w:pPr>
      <w:r>
        <w:t>Όταν το ποσό της υπεραντιστάθμισης δεν υπερβαίνει το 10 % του ποσού της μέσης ετήσιας αντιστάθμισης, η υπεραντιστάθμιση αυτή μπορεί να μεταφερθεί στην επόμενη περίοδο και να αφαιρεθεί από το ποσό της αποζημίωσης που οφείλεται για την εν λόγω περίοδο.</w:t>
      </w:r>
    </w:p>
    <w:p w14:paraId="59F26EF3" w14:textId="77777777" w:rsidR="007B1A84" w:rsidRDefault="002A0261" w:rsidP="003E0C33">
      <w:pPr>
        <w:pStyle w:val="BodyText"/>
        <w:spacing w:after="120"/>
        <w:ind w:left="25" w:right="430"/>
        <w:jc w:val="both"/>
      </w:pPr>
      <w:r>
        <w:t xml:space="preserve">Όταν η αντιστάθμιση ΥΓΟΣ χορηγείται για επενδύσεις που συνδέονται με την παροχή ΥΓΟΣ, καθορίζεται ακριβής εκτίμηση του ποσού της υπεραντιστάθμισης στο τέλος της περιόδου ανάθεσης με βάση τον εκ νέου υπολογισμό του χρηματοδοτικού κενού (χρήση </w:t>
      </w:r>
      <w:r>
        <w:rPr>
          <w:rFonts w:ascii="Arial"/>
          <w:i/>
        </w:rPr>
        <w:t>ρήτρας</w:t>
      </w:r>
      <w:r>
        <w:rPr>
          <w:rFonts w:ascii="Arial"/>
          <w:i/>
        </w:rPr>
        <w:t xml:space="preserve"> </w:t>
      </w:r>
      <w:r>
        <w:rPr>
          <w:rFonts w:ascii="Arial"/>
          <w:i/>
        </w:rPr>
        <w:t>ανάκτησης</w:t>
      </w:r>
      <w:r>
        <w:t>).</w:t>
      </w:r>
    </w:p>
    <w:p w14:paraId="4497407C" w14:textId="77777777" w:rsidR="007B1A84" w:rsidRDefault="002A0261" w:rsidP="003E0C33">
      <w:pPr>
        <w:pStyle w:val="BodyText"/>
        <w:spacing w:after="120"/>
        <w:ind w:left="25" w:right="417"/>
        <w:jc w:val="both"/>
      </w:pPr>
      <w:r>
        <w:t>Λαμβανομένων υπόψη των όρων που καθορίζονται στην ανακοίνωση για την ανάκτηση κρατικών ενισχύσεων, μπορεί να συμφωνηθεί προσωρινή επιστροφή της υπεραντιστάθμισης μεταξύ του δικαιούχου της κρατικής ενίσχυσης και του χορηγού της κρατικής ενίσχυσης για τυχόν υπεραντιστάθμιση που διαπιστώνεται για οποιαδήποτε τριετή περίοδο. Η προσωρινή επιστροφή της υπεραντιστάθμισης, για παράδειγμα, μπορεί να επιτευχθεί με την καταβολή του ποσού της διαπιστωθείσας υπεραντιστάθμισης σε λογαριασμό μεσεγγύησης.</w:t>
      </w:r>
    </w:p>
    <w:p w14:paraId="7991B793" w14:textId="77777777" w:rsidR="007B1A84" w:rsidRDefault="002A0261" w:rsidP="003E0C33">
      <w:pPr>
        <w:pStyle w:val="BodyText"/>
        <w:spacing w:after="120"/>
        <w:ind w:left="25" w:right="403"/>
        <w:jc w:val="both"/>
      </w:pPr>
      <w:r>
        <w:t xml:space="preserve">Η αρχή χορήγησης κρατικών ενισχύσεων πρέπει να καθορίσει εκ των προτέρων τον τύπο του </w:t>
      </w:r>
      <w:r>
        <w:rPr>
          <w:rFonts w:ascii="Arial"/>
          <w:i/>
        </w:rPr>
        <w:t>μηχανισμού</w:t>
      </w:r>
      <w:r>
        <w:rPr>
          <w:rFonts w:ascii="Arial"/>
          <w:i/>
        </w:rPr>
        <w:t xml:space="preserve"> </w:t>
      </w:r>
      <w:r>
        <w:rPr>
          <w:rFonts w:ascii="Arial"/>
          <w:i/>
        </w:rPr>
        <w:t>ανάκτησης</w:t>
      </w:r>
      <w:r>
        <w:rPr>
          <w:rFonts w:ascii="Arial"/>
          <w:i/>
        </w:rPr>
        <w:t xml:space="preserve"> </w:t>
      </w:r>
      <w:r>
        <w:t>που εφαρμόζεται για την ανάκτηση υπερβολικών κρατικών ενισχύσεων.</w:t>
      </w:r>
    </w:p>
    <w:p w14:paraId="663C7D22" w14:textId="77777777" w:rsidR="007B1A84" w:rsidRDefault="002A0261" w:rsidP="003E0C33">
      <w:pPr>
        <w:pStyle w:val="P68B1DB1-a334"/>
        <w:spacing w:after="120"/>
        <w:ind w:left="25"/>
        <w:jc w:val="both"/>
      </w:pPr>
      <w:r>
        <w:t>Συμπεράσματα/συστάσεις</w:t>
      </w:r>
    </w:p>
    <w:p w14:paraId="39996F92" w14:textId="7B2E580A" w:rsidR="007B1A84" w:rsidRDefault="002A0261" w:rsidP="003E0C33">
      <w:pPr>
        <w:pStyle w:val="P68B1DB1-a58"/>
        <w:numPr>
          <w:ilvl w:val="0"/>
          <w:numId w:val="5"/>
        </w:numPr>
        <w:tabs>
          <w:tab w:val="left" w:pos="744"/>
          <w:tab w:val="left" w:pos="746"/>
        </w:tabs>
        <w:spacing w:after="120"/>
        <w:ind w:right="406"/>
      </w:pPr>
      <w:r>
        <w:t xml:space="preserve">Σύμφωνα με την απόφαση ΥΓΟΣ, η υπεραντιστάθμιση πρέπει να </w:t>
      </w:r>
      <w:r w:rsidR="00C12F9B">
        <w:rPr>
          <w:lang w:val="el-GR"/>
        </w:rPr>
        <w:t>ελέγχεται</w:t>
      </w:r>
      <w:r>
        <w:t xml:space="preserve"> τουλάχιστον ανά τριετία και στο τέλος μιας περιόδου ανάθεσης ΥΓΟΣ. Για να αποφευχθεί το ενδεχόμενο επιστροφής τυχόν αχρεωστήτως καταβληθέντων αποζημιώσεων ΥΓΟΣ ανά τριετία και, στη συνέχεια, επιστροφής στον πάροχο υπηρεσιών, η δυνατότητα προσωρινής αποπληρωμής της υπεραντιστάθμισης μπορεί να εξεταστεί με την καταβολή υπεραντιστάθμισης σε λογαριασμό μεσεγγύησης. Ο διακανονισμός της ληφθείσας υπεραντιστάθμισης θα πραγματοποιηθεί στο τέλος της περιόδου ανάθεσης των ΥΓΟΣ.</w:t>
      </w:r>
    </w:p>
    <w:p w14:paraId="4E5A154C" w14:textId="77777777" w:rsidR="007B1A84" w:rsidRPr="00C12F9B" w:rsidRDefault="002A0261" w:rsidP="003E0C33">
      <w:pPr>
        <w:pStyle w:val="P68B1DB1-a58"/>
        <w:numPr>
          <w:ilvl w:val="0"/>
          <w:numId w:val="5"/>
        </w:numPr>
        <w:tabs>
          <w:tab w:val="left" w:pos="744"/>
          <w:tab w:val="left" w:pos="746"/>
        </w:tabs>
        <w:spacing w:after="120"/>
        <w:ind w:right="425"/>
      </w:pPr>
      <w:r>
        <w:t>Το μοντέλο αυτό θα ήταν κατάλληλο όταν η αντιστάθμιση ΥΓΟΣ χορηγείται για επενδύσεις που συνδέονται με την παροχή ΥΓΟΣ, διότι μπορεί να καθοριστεί ακριβής εκτίμηση του ποσού της υπεραντιστάθμισης στο τέλος της περιόδου ανάθεσης με βάση τον εκ νέου υπολογισμό του χρηματοδοτικού κενού (χρήση ρήτρας ανάκτησης).</w:t>
      </w:r>
    </w:p>
    <w:p w14:paraId="6ADDB95C" w14:textId="77777777" w:rsidR="00C12F9B" w:rsidRPr="00C12F9B" w:rsidRDefault="00C12F9B" w:rsidP="00C12F9B">
      <w:pPr>
        <w:pStyle w:val="P68B1DB1-a58"/>
        <w:tabs>
          <w:tab w:val="left" w:pos="744"/>
          <w:tab w:val="left" w:pos="746"/>
        </w:tabs>
        <w:spacing w:after="120"/>
        <w:ind w:right="425" w:firstLine="0"/>
      </w:pPr>
    </w:p>
    <w:p w14:paraId="3BE282B6" w14:textId="77777777" w:rsidR="007B1A84" w:rsidRPr="000E3B35" w:rsidRDefault="002A0261" w:rsidP="003E0C33">
      <w:pPr>
        <w:pStyle w:val="P68B1DB1-137"/>
        <w:numPr>
          <w:ilvl w:val="0"/>
          <w:numId w:val="12"/>
        </w:numPr>
        <w:tabs>
          <w:tab w:val="left" w:pos="378"/>
        </w:tabs>
        <w:spacing w:before="0" w:after="120"/>
        <w:ind w:left="378" w:hanging="353"/>
        <w:rPr>
          <w:caps/>
          <w:smallCaps w:val="0"/>
        </w:rPr>
      </w:pPr>
      <w:r w:rsidRPr="000E3B35">
        <w:rPr>
          <w:caps/>
          <w:smallCaps w:val="0"/>
        </w:rPr>
        <w:t>Επαναχρησιμοποίηση υπεραντιστάθμισης που επιστρέφεται</w:t>
      </w:r>
    </w:p>
    <w:p w14:paraId="7BBD4D11" w14:textId="77777777" w:rsidR="007B1A84" w:rsidRDefault="002A0261" w:rsidP="003E0C33">
      <w:pPr>
        <w:pStyle w:val="P68B1DB1-a338"/>
        <w:spacing w:after="120"/>
      </w:pPr>
      <w:r>
        <w:rPr>
          <w:noProof/>
        </w:rPr>
        <mc:AlternateContent>
          <mc:Choice Requires="wps">
            <w:drawing>
              <wp:anchor distT="0" distB="0" distL="0" distR="0" simplePos="0" relativeHeight="487604736" behindDoc="1" locked="0" layoutInCell="1" allowOverlap="1" wp14:anchorId="37594C2A" wp14:editId="77CBC0B8">
                <wp:simplePos x="0" y="0"/>
                <wp:positionH relativeFrom="page">
                  <wp:posOffset>905510</wp:posOffset>
                </wp:positionH>
                <wp:positionV relativeFrom="paragraph">
                  <wp:posOffset>52067</wp:posOffset>
                </wp:positionV>
                <wp:extent cx="5768340" cy="1270"/>
                <wp:effectExtent l="0" t="0" r="0" b="0"/>
                <wp:wrapTopAndBottom/>
                <wp:docPr id="42" name="Γραφική παράσταση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270"/>
                        </a:xfrm>
                        <a:custGeom>
                          <a:avLst/>
                          <a:gdLst/>
                          <a:ahLst/>
                          <a:cxnLst/>
                          <a:rect l="l" t="t" r="r" b="b"/>
                          <a:pathLst>
                            <a:path w="5768340">
                              <a:moveTo>
                                <a:pt x="0" y="0"/>
                              </a:moveTo>
                              <a:lnTo>
                                <a:pt x="5768340" y="0"/>
                              </a:lnTo>
                            </a:path>
                          </a:pathLst>
                        </a:custGeom>
                        <a:ln w="10160">
                          <a:solidFill>
                            <a:srgbClr val="BEBEBE"/>
                          </a:solidFill>
                          <a:prstDash val="sysDot"/>
                        </a:ln>
                      </wps:spPr>
                      <wps:bodyPr wrap="square" lIns="0" tIns="0" rIns="0" bIns="0" rtlCol="0">
                        <a:prstTxWarp prst="textNoShape">
                          <a:avLst/>
                        </a:prstTxWarp>
                        <a:noAutofit/>
                      </wps:bodyPr>
                    </wps:wsp>
                  </a:graphicData>
                </a:graphic>
              </wp:anchor>
            </w:drawing>
          </mc:Choice>
          <mc:Fallback>
            <w:pict>
              <v:shape w14:anchorId="2D36ECEB" id="Γραφική παράσταση 42" o:spid="_x0000_s1026" style="position:absolute;margin-left:71.3pt;margin-top:4.1pt;width:454.2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5768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" path="m,l5768340,e" filled="f" strokecolor="#bebebe" strokeweight=".8pt">
                <v:stroke dashstyle="1 1"/>
                <v:path arrowok="t"/>
                <w10:wrap type="topAndBottom" anchorx="page"/>
              </v:shape>
            </w:pict>
          </mc:Fallback>
        </mc:AlternateContent>
      </w:r>
    </w:p>
    <w:p w14:paraId="284273EC" w14:textId="77777777" w:rsidR="007B1A84" w:rsidRDefault="002A0261" w:rsidP="003E0C33">
      <w:pPr>
        <w:pStyle w:val="BodyText"/>
        <w:spacing w:after="120"/>
        <w:ind w:left="25" w:right="430"/>
        <w:jc w:val="both"/>
      </w:pPr>
      <w:r>
        <w:t xml:space="preserve">Εναπόκειται στην αρμοδιότητα των κρατών μελών να θεσπίσουν μηχανισμούς για τη χρήση των </w:t>
      </w:r>
      <w:r>
        <w:lastRenderedPageBreak/>
        <w:t>κεφαλαίων που αποκτώνται από επιστροφές υπεραντιστάθμισης. Οι μηχανισμοί αυτοί πρέπει να θεσπιστούν εκ των προτέρων.</w:t>
      </w:r>
    </w:p>
    <w:p w14:paraId="1865EA32" w14:textId="77777777" w:rsidR="007B1A84" w:rsidRDefault="002A0261" w:rsidP="003E0C33">
      <w:pPr>
        <w:pStyle w:val="BodyText"/>
        <w:spacing w:after="120"/>
        <w:ind w:left="25" w:right="414"/>
        <w:jc w:val="both"/>
      </w:pPr>
      <w:r>
        <w:t>Για παράδειγμα, ένα κράτος μέλος μπορεί να θεσπίσει απαίτηση σύμφωνα με την οποία οι επιστροφές (τόσο οι επιστροφές υπεραντιστάθμισης όσο και η προσαρμογή του ποσού της αρχικά χορηγηθείσας κρατικής ενίσχυσης) πρέπει να διοχετεύονται σε ειδικό ταμείο-στόχο. Τα κράτη μέλη μπορούν να επιβάλλουν υποχρεώσεις στο εν λόγω ταμείο-στόχο μόνο για δραστηριότητες που συνδέονται με πρωτοβουλίες κυκλικής οικονομίας.</w:t>
      </w:r>
    </w:p>
    <w:p w14:paraId="18D64241" w14:textId="77777777" w:rsidR="007B1A84" w:rsidRDefault="002A0261" w:rsidP="003E0C33">
      <w:pPr>
        <w:pStyle w:val="P68B1DB1-a334"/>
        <w:spacing w:after="120"/>
        <w:ind w:left="25"/>
        <w:jc w:val="both"/>
      </w:pPr>
      <w:r>
        <w:t>Συμπεράσματα/συστάσεις</w:t>
      </w:r>
    </w:p>
    <w:p w14:paraId="6EB87307" w14:textId="08EDC0DD" w:rsidR="007B1A84" w:rsidRDefault="002A0261" w:rsidP="003E0C33">
      <w:pPr>
        <w:pStyle w:val="BodyText"/>
        <w:spacing w:after="120"/>
        <w:ind w:left="746" w:right="396" w:hanging="353"/>
        <w:jc w:val="both"/>
      </w:pPr>
      <w:r>
        <w:t>1) Η Ελλάδα μπορεί να συστήσει ειδικό ταμείο για τη χρηματοδότηση δράσεων που συνδέονται με την κυκλική οικονομία</w:t>
      </w:r>
      <w:hyperlink w:anchor="_bookmark75" w:history="1"/>
      <w:r w:rsidR="000E3B35">
        <w:rPr>
          <w:rStyle w:val="FootnoteReference"/>
        </w:rPr>
        <w:footnoteReference w:id="55"/>
      </w:r>
      <w:r>
        <w:t>. Ένα τέτοιο ταμείο μπορεί να συσταθεί από οικονομικούς πόρους που εισπράττονται ως επιστροφή υπεραντιστάθμισης, καθώς και λόγω άλλων χρηματοοικονομικών διορθώσεων που μπορούν να εφαρμοστούν σε έργα ΜΑΑ.</w:t>
      </w:r>
    </w:p>
    <w:p w14:paraId="3521D552" w14:textId="77777777" w:rsidR="007B1A84" w:rsidRDefault="007B1A84" w:rsidP="003E0C33">
      <w:pPr>
        <w:pStyle w:val="BodyText"/>
        <w:spacing w:after="120"/>
        <w:rPr>
          <w:sz w:val="20"/>
        </w:rPr>
      </w:pPr>
    </w:p>
    <w:p w14:paraId="6E017557" w14:textId="77777777" w:rsidR="007B1A84" w:rsidRDefault="007B1A84" w:rsidP="003E0C33">
      <w:pPr>
        <w:pStyle w:val="BodyText"/>
        <w:spacing w:after="120"/>
        <w:rPr>
          <w:sz w:val="20"/>
        </w:rPr>
      </w:pPr>
    </w:p>
    <w:p w14:paraId="48FF808B" w14:textId="77777777" w:rsidR="007B1A84" w:rsidRDefault="007B1A84" w:rsidP="003E0C33">
      <w:pPr>
        <w:pStyle w:val="BodyText"/>
        <w:spacing w:after="120"/>
        <w:rPr>
          <w:sz w:val="20"/>
        </w:rPr>
      </w:pPr>
    </w:p>
    <w:p w14:paraId="0CF32ABE" w14:textId="77777777" w:rsidR="007B1A84" w:rsidRDefault="007B1A84" w:rsidP="003E0C33">
      <w:pPr>
        <w:pStyle w:val="BodyText"/>
        <w:spacing w:after="120"/>
        <w:rPr>
          <w:sz w:val="20"/>
        </w:rPr>
      </w:pPr>
    </w:p>
    <w:p w14:paraId="67BB711F" w14:textId="77777777" w:rsidR="007B1A84" w:rsidRDefault="007B1A84" w:rsidP="003E0C33">
      <w:pPr>
        <w:pStyle w:val="BodyText"/>
        <w:spacing w:after="120"/>
        <w:rPr>
          <w:sz w:val="20"/>
        </w:rPr>
      </w:pPr>
    </w:p>
    <w:p w14:paraId="1CEF91A6" w14:textId="77777777" w:rsidR="007B1A84" w:rsidRDefault="007B1A84" w:rsidP="003E0C33">
      <w:pPr>
        <w:pStyle w:val="BodyText"/>
        <w:spacing w:after="120"/>
        <w:rPr>
          <w:sz w:val="20"/>
        </w:rPr>
      </w:pPr>
    </w:p>
    <w:p w14:paraId="2DB3498C" w14:textId="77777777" w:rsidR="007B1A84" w:rsidRDefault="007B1A84" w:rsidP="003E0C33">
      <w:pPr>
        <w:pStyle w:val="BodyText"/>
        <w:spacing w:after="120"/>
        <w:rPr>
          <w:sz w:val="20"/>
        </w:rPr>
      </w:pPr>
    </w:p>
    <w:p w14:paraId="52195B32" w14:textId="77777777" w:rsidR="007B1A84" w:rsidRDefault="007B1A84" w:rsidP="003E0C33">
      <w:pPr>
        <w:pStyle w:val="BodyText"/>
        <w:spacing w:after="120"/>
        <w:rPr>
          <w:sz w:val="20"/>
        </w:rPr>
      </w:pPr>
    </w:p>
    <w:p w14:paraId="31CC771D" w14:textId="77777777" w:rsidR="007B1A84" w:rsidRDefault="007B1A84" w:rsidP="003E0C33">
      <w:pPr>
        <w:pStyle w:val="BodyText"/>
        <w:spacing w:after="120"/>
        <w:rPr>
          <w:sz w:val="20"/>
        </w:rPr>
      </w:pPr>
    </w:p>
    <w:p w14:paraId="0C02673C" w14:textId="77777777" w:rsidR="007B1A84" w:rsidRDefault="007B1A84" w:rsidP="003E0C33">
      <w:pPr>
        <w:pStyle w:val="BodyText"/>
        <w:spacing w:after="120"/>
        <w:rPr>
          <w:sz w:val="20"/>
        </w:rPr>
      </w:pPr>
    </w:p>
    <w:p w14:paraId="533F1827" w14:textId="77777777" w:rsidR="007B1A84" w:rsidRDefault="007B1A84" w:rsidP="003E0C33">
      <w:pPr>
        <w:pStyle w:val="BodyText"/>
        <w:spacing w:after="120"/>
        <w:rPr>
          <w:sz w:val="20"/>
        </w:rPr>
      </w:pPr>
    </w:p>
    <w:p w14:paraId="368E6237" w14:textId="77777777" w:rsidR="007B1A84" w:rsidRDefault="007B1A84" w:rsidP="003E0C33">
      <w:pPr>
        <w:pStyle w:val="BodyText"/>
        <w:spacing w:after="120"/>
        <w:rPr>
          <w:sz w:val="20"/>
        </w:rPr>
      </w:pPr>
    </w:p>
    <w:p w14:paraId="0F5AADDA" w14:textId="77777777" w:rsidR="007B1A84" w:rsidRDefault="007B1A84" w:rsidP="003E0C33">
      <w:pPr>
        <w:pStyle w:val="BodyText"/>
        <w:spacing w:after="120"/>
        <w:rPr>
          <w:sz w:val="20"/>
        </w:rPr>
      </w:pPr>
    </w:p>
    <w:p w14:paraId="24CC3DD1" w14:textId="77777777" w:rsidR="007B1A84" w:rsidRDefault="007B1A84" w:rsidP="003E0C33">
      <w:pPr>
        <w:pStyle w:val="BodyText"/>
        <w:spacing w:after="120"/>
        <w:rPr>
          <w:sz w:val="20"/>
        </w:rPr>
      </w:pPr>
    </w:p>
    <w:p w14:paraId="4A6C488D" w14:textId="77777777" w:rsidR="007B1A84" w:rsidRDefault="007B1A84" w:rsidP="003E0C33">
      <w:pPr>
        <w:pStyle w:val="BodyText"/>
        <w:spacing w:after="120"/>
        <w:rPr>
          <w:sz w:val="20"/>
        </w:rPr>
      </w:pPr>
    </w:p>
    <w:p w14:paraId="372829F5" w14:textId="77777777" w:rsidR="007B1A84" w:rsidRDefault="007B1A84" w:rsidP="003E0C33">
      <w:pPr>
        <w:pStyle w:val="BodyText"/>
        <w:spacing w:after="120"/>
        <w:rPr>
          <w:sz w:val="20"/>
        </w:rPr>
      </w:pPr>
    </w:p>
    <w:p w14:paraId="1ADE6297" w14:textId="77777777" w:rsidR="007B1A84" w:rsidRDefault="007B1A84" w:rsidP="003E0C33">
      <w:pPr>
        <w:pStyle w:val="BodyText"/>
        <w:spacing w:after="120"/>
        <w:rPr>
          <w:sz w:val="20"/>
        </w:rPr>
      </w:pPr>
    </w:p>
    <w:p w14:paraId="6078F260" w14:textId="77777777" w:rsidR="007B1A84" w:rsidRDefault="007B1A84" w:rsidP="003E0C33">
      <w:pPr>
        <w:pStyle w:val="BodyText"/>
        <w:spacing w:after="120"/>
        <w:rPr>
          <w:sz w:val="20"/>
        </w:rPr>
      </w:pPr>
    </w:p>
    <w:p w14:paraId="1AF73D92" w14:textId="77777777" w:rsidR="007B1A84" w:rsidRDefault="007B1A84" w:rsidP="003E0C33">
      <w:pPr>
        <w:pStyle w:val="BodyText"/>
        <w:spacing w:after="120"/>
        <w:rPr>
          <w:sz w:val="20"/>
        </w:rPr>
      </w:pPr>
    </w:p>
    <w:p w14:paraId="1A01C4B6" w14:textId="77777777" w:rsidR="007B1A84" w:rsidRDefault="007B1A84" w:rsidP="003E0C33">
      <w:pPr>
        <w:pStyle w:val="BodyText"/>
        <w:spacing w:after="120"/>
        <w:rPr>
          <w:sz w:val="20"/>
        </w:rPr>
      </w:pPr>
    </w:p>
    <w:p w14:paraId="50E43635" w14:textId="77777777" w:rsidR="007B1A84" w:rsidRDefault="007B1A84" w:rsidP="003E0C33">
      <w:pPr>
        <w:pStyle w:val="BodyText"/>
        <w:spacing w:after="120"/>
        <w:rPr>
          <w:sz w:val="20"/>
        </w:rPr>
      </w:pPr>
    </w:p>
    <w:p w14:paraId="5E008304" w14:textId="48EE4AB8" w:rsidR="000E3B35" w:rsidRDefault="000E3B35">
      <w:pPr>
        <w:rPr>
          <w:sz w:val="20"/>
        </w:rPr>
      </w:pPr>
      <w:r>
        <w:rPr>
          <w:sz w:val="20"/>
        </w:rPr>
        <w:br w:type="page"/>
      </w:r>
    </w:p>
    <w:p w14:paraId="78B54025" w14:textId="77777777" w:rsidR="007B1A84" w:rsidRDefault="007B1A84" w:rsidP="003E0C33">
      <w:pPr>
        <w:pStyle w:val="BodyText"/>
        <w:spacing w:after="120"/>
        <w:rPr>
          <w:sz w:val="20"/>
        </w:rPr>
      </w:pPr>
    </w:p>
    <w:p w14:paraId="028A437D" w14:textId="77777777" w:rsidR="007B1A84" w:rsidRDefault="002A0261" w:rsidP="003E0C33">
      <w:pPr>
        <w:pStyle w:val="Heading4"/>
        <w:spacing w:after="120"/>
        <w:ind w:left="25" w:right="406" w:firstLine="0"/>
        <w:jc w:val="both"/>
      </w:pPr>
      <w:bookmarkStart w:id="31" w:name="_bookmark76"/>
      <w:bookmarkEnd w:id="31"/>
      <w:r>
        <w:rPr>
          <w:color w:val="E26C09"/>
          <w:sz w:val="24"/>
        </w:rPr>
        <w:t xml:space="preserve">Παράρτημα 2, </w:t>
      </w:r>
      <w:r>
        <w:t>Επίπεδα αξιολόγησης της συμβατότητας των κρατικών ενισχύσεων (ΥΓΟΣ) όταν προγραμματίζονται επενδύσεις σε υποδομές</w:t>
      </w:r>
    </w:p>
    <w:p w14:paraId="0D4BD600" w14:textId="77777777" w:rsidR="007B1A84" w:rsidRDefault="002A0261" w:rsidP="003E0C33">
      <w:pPr>
        <w:pStyle w:val="BodyText"/>
        <w:spacing w:after="120"/>
        <w:ind w:left="25" w:right="433"/>
        <w:jc w:val="both"/>
      </w:pPr>
      <w:r>
        <w:t>Κατά τη χορήγηση δημόσιας χρηματοδότησης για επενδύσεις στην υποδομή, είναι αναγκαίο να αναλυθεί η ύπαρξη κρατικής ενίσχυσης και να συναχθεί συμπέρασμα σχετικά με το συμβιβάσιμο των κρατικών ενισχύσεων σε διάφορα επίπεδα.</w:t>
      </w:r>
    </w:p>
    <w:p w14:paraId="315D6B56" w14:textId="77777777" w:rsidR="007B1A84" w:rsidRDefault="002A0261" w:rsidP="003E0C33">
      <w:pPr>
        <w:pStyle w:val="BodyText"/>
        <w:spacing w:after="120"/>
        <w:ind w:left="25"/>
        <w:jc w:val="both"/>
      </w:pPr>
      <w:r>
        <w:t>Τα επίπεδα της αξιολόγησης των κρατικών ενισχύσεων περιλαμβάνουν:</w:t>
      </w:r>
    </w:p>
    <w:p w14:paraId="67EB8897" w14:textId="7B8CE053" w:rsidR="007B1A84" w:rsidRDefault="002A0261" w:rsidP="003E0C33">
      <w:pPr>
        <w:pStyle w:val="P68B1DB1-a58"/>
        <w:numPr>
          <w:ilvl w:val="0"/>
          <w:numId w:val="4"/>
        </w:numPr>
        <w:tabs>
          <w:tab w:val="left" w:pos="744"/>
        </w:tabs>
        <w:spacing w:after="120"/>
        <w:ind w:left="744" w:hanging="351"/>
      </w:pPr>
      <w:r>
        <w:t>Ιδιοκτήτης υποδομής/</w:t>
      </w:r>
      <w:r w:rsidR="00E006D5">
        <w:rPr>
          <w:lang w:val="el-GR"/>
        </w:rPr>
        <w:t>φορέας υλοποίησης</w:t>
      </w:r>
      <w:r>
        <w:t>,</w:t>
      </w:r>
    </w:p>
    <w:p w14:paraId="51E3E8F3" w14:textId="77777777" w:rsidR="007B1A84" w:rsidRDefault="002A0261" w:rsidP="003E0C33">
      <w:pPr>
        <w:pStyle w:val="P68B1DB1-a58"/>
        <w:numPr>
          <w:ilvl w:val="0"/>
          <w:numId w:val="4"/>
        </w:numPr>
        <w:tabs>
          <w:tab w:val="left" w:pos="744"/>
        </w:tabs>
        <w:spacing w:after="120"/>
        <w:ind w:left="744" w:hanging="351"/>
      </w:pPr>
      <w:r>
        <w:t>Φορέας εκμετάλλευσης υποδομής, και</w:t>
      </w:r>
    </w:p>
    <w:p w14:paraId="2F6C9D93" w14:textId="77777777" w:rsidR="007B1A84" w:rsidRDefault="002A0261" w:rsidP="003E0C33">
      <w:pPr>
        <w:pStyle w:val="P68B1DB1-a58"/>
        <w:numPr>
          <w:ilvl w:val="0"/>
          <w:numId w:val="4"/>
        </w:numPr>
        <w:tabs>
          <w:tab w:val="left" w:pos="745"/>
        </w:tabs>
        <w:spacing w:after="120"/>
        <w:ind w:left="745" w:hanging="352"/>
      </w:pPr>
      <w:r>
        <w:t>Τελικός χρήστης υποδομής.</w:t>
      </w:r>
    </w:p>
    <w:p w14:paraId="74E5EE6F" w14:textId="0AB94B87" w:rsidR="007B1A84" w:rsidRDefault="002A0261" w:rsidP="003E0C33">
      <w:pPr>
        <w:pStyle w:val="BodyText"/>
        <w:spacing w:after="120"/>
        <w:ind w:left="25" w:right="428"/>
        <w:jc w:val="both"/>
      </w:pPr>
      <w:r>
        <w:t xml:space="preserve">Τα επίπεδα αξιολόγησης μπορεί να διαφέρουν ανάλογα με την περίπτωση και θα μπορούσαν να περιλαμβάνουν συνδυασμό διαφόρων επιπέδων αξιολόγησης για έναν μόνο φορέα ταυτόχρονα, για παράδειγμα, μπορεί να υπάρχει </w:t>
      </w:r>
      <w:r w:rsidR="00777F7A">
        <w:rPr>
          <w:lang w:val="el-GR"/>
        </w:rPr>
        <w:t>ενιαίος</w:t>
      </w:r>
      <w:r>
        <w:t xml:space="preserve"> φορέας </w:t>
      </w:r>
      <w:r w:rsidR="00777F7A">
        <w:rPr>
          <w:lang w:val="el-GR"/>
        </w:rPr>
        <w:t>υλοποίησης</w:t>
      </w:r>
      <w:r>
        <w:t xml:space="preserve"> και φορέας εκμετάλλευσης.</w:t>
      </w:r>
    </w:p>
    <w:p w14:paraId="6F7C89E8" w14:textId="5D4B032F" w:rsidR="007B1A84" w:rsidRDefault="002A0261" w:rsidP="003E0C33">
      <w:pPr>
        <w:pStyle w:val="Heading6"/>
        <w:numPr>
          <w:ilvl w:val="0"/>
          <w:numId w:val="3"/>
        </w:numPr>
        <w:tabs>
          <w:tab w:val="left" w:pos="392"/>
        </w:tabs>
        <w:spacing w:after="120"/>
        <w:ind w:left="392" w:hanging="367"/>
        <w:rPr>
          <w:u w:val="none"/>
        </w:rPr>
      </w:pPr>
      <w:r>
        <w:t>Ιδιοκτήτης υποδομής/</w:t>
      </w:r>
      <w:r w:rsidR="00C20FB3">
        <w:rPr>
          <w:lang w:val="el-GR"/>
        </w:rPr>
        <w:t>φορέας υλοποίησης</w:t>
      </w:r>
    </w:p>
    <w:p w14:paraId="17C36DEA" w14:textId="66054C08" w:rsidR="007B1A84" w:rsidRDefault="002A0261" w:rsidP="003E0C33">
      <w:pPr>
        <w:pStyle w:val="BodyText"/>
        <w:spacing w:after="120"/>
        <w:ind w:left="25" w:right="421"/>
        <w:jc w:val="both"/>
      </w:pPr>
      <w:r>
        <w:t>Η κατασκευή, αναβάθμιση ή επέκταση υποδομών διαχείρισης αποβλήτων που θα αποτελέσουν αντικείμενο εμπορικής εκμετάλλευσης αποτελεί οικονομική δραστηριότητα. Η οικονομική φύση των υπηρεσιών διαχείρισης αποβλήτων είναι εμφανής από το γεγονός ότι η παροχή αυτού του είδους υπηρεσιών υπάρχει στις αγορές των χωρών της ΕΕ και σε παγκόσμιο επίπεδο</w:t>
      </w:r>
      <w:hyperlink w:anchor="_bookmark77" w:history="1"/>
      <w:r w:rsidR="00457512">
        <w:rPr>
          <w:rStyle w:val="FootnoteReference"/>
        </w:rPr>
        <w:footnoteReference w:id="56"/>
      </w:r>
      <w:r>
        <w:t xml:space="preserve"> ιδίως όταν πρόκειται για την επεξεργασία ανακυκλώσιμων υλικών.</w:t>
      </w:r>
    </w:p>
    <w:p w14:paraId="3F5C5B63" w14:textId="36F0A4DD" w:rsidR="007B1A84" w:rsidRDefault="002A0261" w:rsidP="003E0C33">
      <w:pPr>
        <w:pStyle w:val="BodyText"/>
        <w:spacing w:after="120"/>
        <w:ind w:left="25" w:right="422"/>
        <w:jc w:val="both"/>
      </w:pPr>
      <w:r>
        <w:t xml:space="preserve">Ο ιδιοκτήτης </w:t>
      </w:r>
      <w:r w:rsidR="00457512">
        <w:rPr>
          <w:lang w:val="el-GR"/>
        </w:rPr>
        <w:t xml:space="preserve">της </w:t>
      </w:r>
      <w:r>
        <w:t xml:space="preserve">υποδομής </w:t>
      </w:r>
      <w:r w:rsidR="00457512">
        <w:rPr>
          <w:lang w:val="el-GR"/>
        </w:rPr>
        <w:t>είναι</w:t>
      </w:r>
      <w:r>
        <w:t xml:space="preserve"> κάθε οντότητα που ασκεί τα πραγματικά δικαιώματα κυριότητας επί της υποδομής και απολαμβάνει τα οικονομικά οφέλη της. Για παράδειγμα, σε περίπτωση που ο ιδιοκτήτης εκχωρήσει τα δικαιώματα ιδιοκτησίας του σε χωριστό δημόσιο φορέα που διαχειρίζεται την υποδομή για λογαριασμό του ιδιοκτήτη, αυτό μπορεί να θεωρηθεί ότι αντικαθιστά τον ιδιοκτήτη για τους σκοπούς της κρατικής ενίσχυσης Co</w:t>
      </w:r>
      <w:hyperlink w:anchor="_bookmark78" w:history="1">
        <w:r>
          <w:t>n</w:t>
        </w:r>
      </w:hyperlink>
      <w:r>
        <w:t>trol</w:t>
      </w:r>
      <w:r w:rsidR="00457512">
        <w:rPr>
          <w:rStyle w:val="FootnoteReference"/>
        </w:rPr>
        <w:footnoteReference w:id="57"/>
      </w:r>
      <w:r>
        <w:t>.</w:t>
      </w:r>
    </w:p>
    <w:p w14:paraId="552AB357" w14:textId="77777777" w:rsidR="007B1A84" w:rsidRDefault="002A0261" w:rsidP="003E0C33">
      <w:pPr>
        <w:pStyle w:val="BodyText"/>
        <w:spacing w:after="120"/>
        <w:ind w:left="25" w:right="426"/>
        <w:jc w:val="both"/>
      </w:pPr>
      <w:r>
        <w:t>Ο ιδιοκτήτης ή ο εξουσιοδοτημένος φορέας του μπορεί να είναι υπεύθυνος για την ανάπτυξη της αναγκαίας υποδομής, αλλά μπορεί να αναθέτει την παροχή υπηρεσιών (λειτουργία υποδομής) σε τρίτο μέρος.</w:t>
      </w:r>
    </w:p>
    <w:p w14:paraId="622EEA4B" w14:textId="07F96EBF" w:rsidR="007B1A84" w:rsidRDefault="002A0261" w:rsidP="003E0C33">
      <w:pPr>
        <w:pStyle w:val="BodyText"/>
        <w:spacing w:after="120"/>
        <w:ind w:left="25" w:right="408"/>
        <w:jc w:val="both"/>
      </w:pPr>
      <w:r>
        <w:t>Παρέχεται κρατική ενίσχυση στον ιδιοκτήτη/</w:t>
      </w:r>
      <w:r w:rsidR="00DD7CF9">
        <w:rPr>
          <w:lang w:val="el-GR"/>
        </w:rPr>
        <w:t>φορέα υλοποίησης της</w:t>
      </w:r>
      <w:r>
        <w:t xml:space="preserve"> υποδομής, ανεξάρτητα από το αν κάνει άμεση χρήση της υποδομής για την παροχή των υπηρεσιών ο ίδιος ή θέτει την υποδομή στη διάθεση τρίτου φορέα εκμετάλλευσης, ο οποίος με τη σειρά του παρέχει υπηρεσίες σε τελικούς χρήστες της υποδομής.</w:t>
      </w:r>
    </w:p>
    <w:p w14:paraId="3CDF2958" w14:textId="1D348FD3" w:rsidR="007B1A84" w:rsidRDefault="002A0261" w:rsidP="003E0C33">
      <w:pPr>
        <w:pStyle w:val="BodyText"/>
        <w:spacing w:after="120"/>
        <w:ind w:left="25" w:right="414"/>
        <w:jc w:val="both"/>
      </w:pPr>
      <w:r>
        <w:t>Η κρατική ενίσχυση παραμένει μόνο στο επίπεδο του ιδιοκτήτη/</w:t>
      </w:r>
      <w:r w:rsidR="00DD7CF9">
        <w:rPr>
          <w:lang w:val="el-GR"/>
        </w:rPr>
        <w:t>φορέα υλοποίησης</w:t>
      </w:r>
      <w:r>
        <w:t xml:space="preserve"> </w:t>
      </w:r>
      <w:r w:rsidR="00DD7CF9">
        <w:rPr>
          <w:lang w:val="el-GR"/>
        </w:rPr>
        <w:t>της</w:t>
      </w:r>
      <w:r w:rsidR="00DD7CF9">
        <w:t xml:space="preserve"> </w:t>
      </w:r>
      <w:r>
        <w:t>υποδομής, εάν ο ιδιοκτήτης/</w:t>
      </w:r>
      <w:r w:rsidR="00DD7CF9">
        <w:rPr>
          <w:lang w:val="el-GR"/>
        </w:rPr>
        <w:t>φορέα</w:t>
      </w:r>
      <w:r w:rsidR="00DD7CF9">
        <w:rPr>
          <w:lang w:val="el-GR"/>
        </w:rPr>
        <w:t xml:space="preserve">ς </w:t>
      </w:r>
      <w:r w:rsidR="00DD7CF9">
        <w:rPr>
          <w:lang w:val="el-GR"/>
        </w:rPr>
        <w:t>υλοποίησης</w:t>
      </w:r>
      <w:r w:rsidR="00DD7CF9">
        <w:t xml:space="preserve"> </w:t>
      </w:r>
      <w:r>
        <w:t>της υποδομής λάβει αμοιβή για τη λειτουργία της υποδομής που αντιστοιχεί στο τέλος αγοράς</w:t>
      </w:r>
      <w:hyperlink w:anchor="_bookmark79" w:history="1"/>
      <w:r w:rsidR="00457512">
        <w:rPr>
          <w:rStyle w:val="FootnoteReference"/>
        </w:rPr>
        <w:footnoteReference w:id="58"/>
      </w:r>
      <w:r>
        <w:t>. Στην περίπτωση αυτή, η συμβατότητα της κρατικής ενίσχυσης πρέπει να διασφαλίζεται μόνο στο επίπεδο του ιδιοκτήτη/</w:t>
      </w:r>
      <w:r w:rsidR="00DD7CF9" w:rsidRPr="00DD7CF9">
        <w:rPr>
          <w:lang w:val="el-GR"/>
        </w:rPr>
        <w:t xml:space="preserve"> </w:t>
      </w:r>
      <w:r w:rsidR="00DD7CF9">
        <w:rPr>
          <w:lang w:val="el-GR"/>
        </w:rPr>
        <w:t>φορέα υλοποίησης</w:t>
      </w:r>
      <w:r>
        <w:t xml:space="preserve">. Και στο επίπεδο του φορέα εκμετάλλευσης, η ύπαρξη κρατικής ενίσχυσης θα εξαιρούνταν λόγω της έλλειψης </w:t>
      </w:r>
      <w:r w:rsidR="00C35ED0">
        <w:rPr>
          <w:lang w:val="el-GR"/>
        </w:rPr>
        <w:t>ενός</w:t>
      </w:r>
      <w:r>
        <w:t xml:space="preserve"> πρόσθετ</w:t>
      </w:r>
      <w:r w:rsidR="00C35ED0">
        <w:rPr>
          <w:lang w:val="el-GR"/>
        </w:rPr>
        <w:t>ου πλεονεκτήματος</w:t>
      </w:r>
      <w:r w:rsidR="00457512">
        <w:rPr>
          <w:rStyle w:val="FootnoteReference"/>
        </w:rPr>
        <w:footnoteReference w:id="59"/>
      </w:r>
    </w:p>
    <w:p w14:paraId="2130904E" w14:textId="110837CB" w:rsidR="007B1A84" w:rsidRDefault="002A0261" w:rsidP="003E0C33">
      <w:pPr>
        <w:pStyle w:val="BodyText"/>
        <w:spacing w:after="120"/>
        <w:ind w:left="25" w:right="407"/>
        <w:jc w:val="both"/>
      </w:pPr>
      <w:bookmarkStart w:id="32" w:name="_bookmark78"/>
      <w:bookmarkEnd w:id="32"/>
      <w:r>
        <w:t>Όταν η υποδομή δεν προορίζεται για υπηρεσίες της αγοράς, αλλά για την παροχή ΥΓΟΣ, είναι πιθανότερο ότι η κρατική ενίσχυση από τον ιδιοκτήτη/</w:t>
      </w:r>
      <w:r w:rsidR="00C35ED0" w:rsidRPr="00C35ED0">
        <w:rPr>
          <w:lang w:val="el-GR"/>
        </w:rPr>
        <w:t xml:space="preserve"> </w:t>
      </w:r>
      <w:r w:rsidR="00C35ED0">
        <w:rPr>
          <w:lang w:val="el-GR"/>
        </w:rPr>
        <w:t>φορέα υλοποίησης</w:t>
      </w:r>
      <w:r>
        <w:t xml:space="preserve"> της υποδομής θα μεταβιβαστεί επίσης στον επιλεγέντα φορέα εκμετάλλευσης υποδομής. Ωστόσο, η χορήγηση κρατικής ενίσχυσης στον φορέα εκμετάλλευσης υποδομής θα πρέπει να αξιολογείται κατά περίπτωση.</w:t>
      </w:r>
    </w:p>
    <w:p w14:paraId="7A1AFC0F" w14:textId="77777777" w:rsidR="007B1A84" w:rsidRDefault="002A0261" w:rsidP="003E0C33">
      <w:pPr>
        <w:pStyle w:val="Heading6"/>
        <w:numPr>
          <w:ilvl w:val="0"/>
          <w:numId w:val="3"/>
        </w:numPr>
        <w:tabs>
          <w:tab w:val="left" w:pos="392"/>
        </w:tabs>
        <w:spacing w:after="120"/>
        <w:ind w:left="392" w:hanging="367"/>
        <w:rPr>
          <w:u w:val="none"/>
        </w:rPr>
      </w:pPr>
      <w:r>
        <w:lastRenderedPageBreak/>
        <w:t>Φορέας εκμετάλλευσης υποδομής</w:t>
      </w:r>
    </w:p>
    <w:p w14:paraId="7844BD1D" w14:textId="74B60463" w:rsidR="007B1A84" w:rsidRDefault="002A0261" w:rsidP="003E0C33">
      <w:pPr>
        <w:pStyle w:val="BodyText"/>
        <w:spacing w:after="120"/>
        <w:ind w:left="25" w:right="394"/>
        <w:jc w:val="both"/>
      </w:pPr>
      <w:r>
        <w:t>Φορέας εκμετάλλευσης είναι επιχείρηση που χρησιμοποιεί άμεσα την υποδομή για την παροχή υπηρεσιών σε τελικούς χρήστες, συμπεριλαμβανομένων των επιχειρήσεων που αποκτούν την υποδομή από τον κύριο του έργου/ιδιοκτήτη για να την εκμεταλλευτούν οικονομικά ή οι οποίες λαμβάνουν παραχώρηση ή μίσθωση για τη χρήση και τη λειτουργία της υποδομής</w:t>
      </w:r>
      <w:r w:rsidR="00411BFA">
        <w:rPr>
          <w:rStyle w:val="FootnoteReference"/>
        </w:rPr>
        <w:footnoteReference w:id="60"/>
      </w:r>
      <w:r>
        <w:t>.</w:t>
      </w:r>
    </w:p>
    <w:p w14:paraId="0017F082" w14:textId="16FEF72E" w:rsidR="007B1A84" w:rsidRDefault="002A0261" w:rsidP="003E0C33">
      <w:pPr>
        <w:pStyle w:val="BodyText"/>
        <w:spacing w:after="120"/>
        <w:ind w:left="25" w:right="416"/>
        <w:jc w:val="both"/>
      </w:pPr>
      <w:r>
        <w:t>Οι φορείς εκμετάλλευσης που κάνουν χρήση της ενισχυόμενης υποδομής για την παροχή υπηρεσιών σε τελικούς χρήστες λαμβάνουν πλεονέκτημα εάν η χρήση της υποδομής τους παρέχει οικονομικό όφελος το οποίο δεν θα είχαν αποκομίσει υπό κανονικές συνθήκες της αγοράς. Αυτό ισχύει συνήθως εάν αυτό που πληρώνουν για το δικαίωμα εκμετάλλευσης της υποδομής είναι χαμηλότερο από αυτό που θα πλήρωναν για συγκρίσιμη υποδομή υπό κανονικές συνθήκες αγοράς</w:t>
      </w:r>
      <w:r w:rsidR="00411BFA">
        <w:rPr>
          <w:rStyle w:val="FootnoteReference"/>
        </w:rPr>
        <w:footnoteReference w:id="61"/>
      </w:r>
      <w:hyperlink w:anchor="_bookmark82" w:history="1">
        <w:r>
          <w:t>.</w:t>
        </w:r>
      </w:hyperlink>
    </w:p>
    <w:p w14:paraId="31725F27" w14:textId="77777777" w:rsidR="007B1A84" w:rsidRDefault="002A0261" w:rsidP="003E0C33">
      <w:pPr>
        <w:pStyle w:val="BodyText"/>
        <w:spacing w:after="120"/>
        <w:ind w:left="25" w:right="423"/>
        <w:jc w:val="both"/>
      </w:pPr>
      <w:r>
        <w:t>Η λειτουργία/διαχείριση της υποδομής με όρους της αγοράς μπορεί να υλοποιηθεί όταν οι υπηρεσίες που παρέχονται από τον διαχειριστή υποδομής είναι υπηρεσίες της αγοράς. Είναι πιθανότερο να μην είναι δυνατόν όταν ο φορέας εκμετάλλευσης υποδομής έχει λάβει υποδομή για τη λειτουργία μιας ΥΓΟΣ. Ωστόσο, αυτό θα πρέπει να αξιολογείται κατά περίπτωση.</w:t>
      </w:r>
    </w:p>
    <w:p w14:paraId="0BB9304B" w14:textId="77777777" w:rsidR="007B1A84" w:rsidRDefault="002A0261" w:rsidP="003E0C33">
      <w:pPr>
        <w:pStyle w:val="BodyText"/>
        <w:spacing w:after="120"/>
        <w:ind w:left="25" w:right="426"/>
        <w:jc w:val="both"/>
      </w:pPr>
      <w:r>
        <w:t>Εάν η λειτουργία μιας ΥΓΟΣ μπορεί να πραγματοποιηθεί με όρους της αγοράς, τίθεται το ερώτημα αν η ανάγκη ύπαρξης μιας υπηρεσίας ως ΥΓΟΣ είναι δικαιολογημένη ή εάν υπάρχει πρόδηλο σφάλμα στον ορισμό της υπηρεσίας ως ΥΓΟΣ.</w:t>
      </w:r>
    </w:p>
    <w:p w14:paraId="5A7E552E" w14:textId="242628AD" w:rsidR="007B1A84" w:rsidRDefault="002A0261" w:rsidP="003E0C33">
      <w:pPr>
        <w:pStyle w:val="BodyText"/>
        <w:spacing w:after="120"/>
        <w:ind w:left="25" w:right="413"/>
        <w:jc w:val="both"/>
      </w:pPr>
      <w:r>
        <w:t>Όταν η ανάθεση ΥΓΟΣ ορίζεται στο επίπεδο του ιδιοκτήτη/</w:t>
      </w:r>
      <w:r w:rsidR="00411BFA">
        <w:rPr>
          <w:lang w:val="el-GR"/>
        </w:rPr>
        <w:t>φορέα υλοποίησης</w:t>
      </w:r>
      <w:r>
        <w:t xml:space="preserve"> υποδομής και η παροχή της ΥΓΟΣ μεταβιβάζεται αργότερα σε τρίτο φορέα εκμετάλλευσης, η εν λόγω μεταβίβαση της απόδοσης της ΥΓΟΣ στον τρίτο μπορεί να θεωρηθεί ως υπεργολαβία για την υλοποίηση ΥΓΟΣ</w:t>
      </w:r>
      <w:r w:rsidR="00411BFA">
        <w:rPr>
          <w:lang w:val="el-GR"/>
        </w:rPr>
        <w:t xml:space="preserve"> </w:t>
      </w:r>
      <w:hyperlink w:anchor="_bookmark83" w:history="1">
        <w:r>
          <w:t>στο</w:t>
        </w:r>
      </w:hyperlink>
      <w:r>
        <w:t>ιον.</w:t>
      </w:r>
      <w:r>
        <w:rPr>
          <w:vertAlign w:val="superscript"/>
        </w:rPr>
        <w:t>62</w:t>
      </w:r>
      <w:r w:rsidR="00411BFA">
        <w:rPr>
          <w:rStyle w:val="FootnoteReference"/>
        </w:rPr>
        <w:footnoteReference w:id="62"/>
      </w:r>
      <w:r>
        <w:t>.</w:t>
      </w:r>
    </w:p>
    <w:p w14:paraId="3B96BECC" w14:textId="77777777" w:rsidR="007B1A84" w:rsidRDefault="002A0261" w:rsidP="003E0C33">
      <w:pPr>
        <w:pStyle w:val="BodyText"/>
        <w:spacing w:after="120"/>
        <w:ind w:left="25" w:right="442"/>
        <w:jc w:val="both"/>
      </w:pPr>
      <w:r>
        <w:t>Οι νομικές πράξεις που ορίζουν τις ΥΓΟΣ και οι συμβάσεις ΥΓΟΣ αναφέρουν, με διαφανή τρόπο, εάν και σε ποιο βαθμό, η υπεργολαβία μπορεί να εξεταστεί για την παροχή ΥΓΟΣ.</w:t>
      </w:r>
    </w:p>
    <w:p w14:paraId="21225FF8" w14:textId="77777777" w:rsidR="007B1A84" w:rsidRDefault="002A0261" w:rsidP="003E0C33">
      <w:pPr>
        <w:pStyle w:val="BodyText"/>
        <w:spacing w:after="120"/>
        <w:ind w:left="25" w:right="410"/>
        <w:jc w:val="both"/>
        <w:rPr>
          <w:lang w:val="el-GR"/>
        </w:rPr>
      </w:pPr>
      <w:r>
        <w:t>Ο υπεργολάβος υποχρεούται να παρέχει υπηρεσίες ΥΓΟΣ με τον ίδιο τρόπο που προβλέπεται από την κύρια πράξη ανάθεσης. Κατά συνέπεια, τόσο ο ιδιοκτήτης της υποδομής/αναπτυσσόμενος όσο και ο διαχειριστής υποδομής δεσμεύονται από την ίδια πράξη ανάθεσης ΥΓΟΣ. Αυτό σημαίνει ότι ο (υπεργολαβικός) φορέας ΥΓΟΣ μπορεί να παρέχει μόνο υπηρεσίες που προβλέπονται στην πράξη ανάθεσης ΥΓΟΣ, μπορεί να αντισταθμίζεται μόνο για τις δαπάνες ΥΓΟΣ, είναι υποχρεωμένος να συμμορφώνεται με την υποχρέωση τήρησης χωριστού λογαριασμού για χωριστές δραστηριότητες για υπηρεσίες που δεν εμπίπτουν στις ΥΓΟΣ και πρέπει να τηρεί τις απαιτήσεις αντιστάθμισης και ελέγχου υπεραντιστάθμισης που προβλέπονται από την πράξη ανάθεσης ΥΓΟΣ κ.λπ.</w:t>
      </w:r>
    </w:p>
    <w:p w14:paraId="674C178F" w14:textId="77777777" w:rsidR="006B6048" w:rsidRPr="006B6048" w:rsidRDefault="006B6048" w:rsidP="003E0C33">
      <w:pPr>
        <w:pStyle w:val="BodyText"/>
        <w:spacing w:after="120"/>
        <w:ind w:left="25" w:right="410"/>
        <w:jc w:val="both"/>
        <w:rPr>
          <w:lang w:val="el-GR"/>
        </w:rPr>
      </w:pPr>
    </w:p>
    <w:p w14:paraId="2E08E854" w14:textId="77777777" w:rsidR="007B1A84" w:rsidRDefault="002A0261" w:rsidP="003E0C33">
      <w:pPr>
        <w:pStyle w:val="Heading6"/>
        <w:numPr>
          <w:ilvl w:val="0"/>
          <w:numId w:val="3"/>
        </w:numPr>
        <w:tabs>
          <w:tab w:val="left" w:pos="392"/>
        </w:tabs>
        <w:spacing w:after="120"/>
        <w:ind w:left="392" w:hanging="367"/>
        <w:rPr>
          <w:u w:val="none"/>
        </w:rPr>
      </w:pPr>
      <w:r>
        <w:t>Συνδυασμένη κατασκευή και λειτουργία υποδομής</w:t>
      </w:r>
    </w:p>
    <w:p w14:paraId="26C5B0DD" w14:textId="77777777" w:rsidR="007B1A84" w:rsidRDefault="002A0261" w:rsidP="003E0C33">
      <w:pPr>
        <w:pStyle w:val="BodyText"/>
        <w:spacing w:after="120"/>
        <w:ind w:left="25" w:right="413"/>
        <w:jc w:val="both"/>
      </w:pPr>
      <w:r>
        <w:t>Η υλοποίηση των έργων υποδομής μεγάλης κλίμακας μπορεί επίσης να οργανωθεί σύμφωνα με το υπόδειγμα «BOT» (BOT). Αυτό σημαίνει ότι ένας ιδιωτικός φορέας επιλέγεται για την ανάληψη, τον σχεδιασμό, την κατασκευή, την ιδιοκτησία και τη λειτουργία υποδομής ΥΓΟΣ για ορισμένο χρονικό διάστημα που απαιτείται για την ανάκτηση των επενδυτικών δαπανών, καθώς και των δαπανών λειτουργίας και συντήρησης που συνδέονται με τη λειτουργία της υπηρεσίας. Συνήθως, το μοντέλο αυτό εφαρμόζεται ως σύμπραξη δημόσιου-ιδιωτικού τομέα (ΣΔΙΤ).</w:t>
      </w:r>
    </w:p>
    <w:p w14:paraId="091ED9AB" w14:textId="77777777" w:rsidR="007B1A84" w:rsidRDefault="002A0261" w:rsidP="003E0C33">
      <w:pPr>
        <w:pStyle w:val="BodyText"/>
        <w:spacing w:after="120"/>
        <w:ind w:left="25" w:right="413"/>
        <w:jc w:val="both"/>
      </w:pPr>
      <w:r>
        <w:t>Στην περίπτωση ΣΔΙΤ, ο επιλεγμένος ιδιωτικός φορέας είναι δικαιούχος κρατικής ενίσχυσης. Ως εκ τούτου, για παράδειγμα, η συμμόρφωση με τους κανόνες για τις ΥΓΟΣ πρέπει να διασφαλίζεται από τον εταίρο του ιδιωτικού τομέα — δικαιούχο κρατικής ενίσχυσης — που επιλέγεται για την κατασκευή και τη λειτουργία υποδομής ΥΓΟΣ.</w:t>
      </w:r>
    </w:p>
    <w:p w14:paraId="7EF84D16" w14:textId="77777777" w:rsidR="007B1A84" w:rsidRDefault="002A0261" w:rsidP="003E0C33">
      <w:pPr>
        <w:pStyle w:val="Heading6"/>
        <w:numPr>
          <w:ilvl w:val="0"/>
          <w:numId w:val="3"/>
        </w:numPr>
        <w:tabs>
          <w:tab w:val="left" w:pos="392"/>
        </w:tabs>
        <w:spacing w:after="120"/>
        <w:ind w:left="392" w:hanging="367"/>
        <w:rPr>
          <w:u w:val="none"/>
        </w:rPr>
      </w:pPr>
      <w:r>
        <w:lastRenderedPageBreak/>
        <w:t>Τελικός χρήστης υποδομής</w:t>
      </w:r>
    </w:p>
    <w:p w14:paraId="16B252AF" w14:textId="0D1E41F8" w:rsidR="007B1A84" w:rsidRDefault="002A0261" w:rsidP="003E0C33">
      <w:pPr>
        <w:pStyle w:val="BodyText"/>
        <w:spacing w:after="120"/>
        <w:ind w:left="25" w:right="415"/>
        <w:jc w:val="both"/>
      </w:pPr>
      <w:r>
        <w:t>Οι τελικοί χρήστες μπορεί να είναι επιχειρήσεις και πολίτες/κοινωνία. Όταν οι χρήστες είναι πολίτες/κοινωνία, δεν μπορεί να χορηγηθεί πλεονέκτημα σε μια επιχείρηση</w:t>
      </w:r>
      <w:r w:rsidR="00C1716A">
        <w:rPr>
          <w:lang w:val="el-GR"/>
        </w:rPr>
        <w:t>.</w:t>
      </w:r>
      <w:hyperlink w:anchor="_bookmark84" w:history="1"/>
      <w:r w:rsidR="00C1716A">
        <w:rPr>
          <w:lang w:val="el-GR"/>
        </w:rPr>
        <w:t xml:space="preserve"> </w:t>
      </w:r>
      <w:r w:rsidR="00C1716A">
        <w:rPr>
          <w:rStyle w:val="FootnoteReference"/>
        </w:rPr>
        <w:footnoteReference w:id="63"/>
      </w:r>
      <w:r>
        <w:t xml:space="preserve"> Στην ανακοίνωση σχετικά με την έννοια της κρατικής ενίσχυσης διευκρινίζεται στο σημείο 6 ότι οι κανόνες για τις κρατικές ενισχύσεις εφαρμόζονται μόνο όταν ο δικαιούχος ενός μέτρου είναι «επιχείρηση». Τα φυσικά πρόσωπα — μέλη νοικοκυριών — δεν θεωρούνται ως «επιχείρηση» για τους σκοπούς της εφαρμογής των κανόνων για τις κρατικές ενισχύσεις.</w:t>
      </w:r>
    </w:p>
    <w:p w14:paraId="521AC9A2" w14:textId="77777777" w:rsidR="007B1A84" w:rsidRDefault="002A0261" w:rsidP="003E0C33">
      <w:pPr>
        <w:pStyle w:val="BodyText"/>
        <w:spacing w:after="120"/>
        <w:ind w:left="25" w:right="418"/>
        <w:jc w:val="both"/>
      </w:pPr>
      <w:r>
        <w:t>Σε περίπτωση που οι τελικοί χρήστες είναι επιχειρήσεις και ο φορέας εκμετάλλευσης υποδομής διαχείρισης αποβλήτων έχει λάβει κρατική ενίσχυση, μπορεί να αποκλειστεί οικονομικό πλεονέκτημα στο επίπεδο των τελικών χρηστών (επιχειρήσεων):</w:t>
      </w:r>
    </w:p>
    <w:p w14:paraId="68B61F52" w14:textId="77777777" w:rsidR="007B1A84" w:rsidRDefault="002A0261" w:rsidP="00C1716A">
      <w:pPr>
        <w:pStyle w:val="P68B1DB1-a58"/>
        <w:numPr>
          <w:ilvl w:val="1"/>
          <w:numId w:val="3"/>
        </w:numPr>
        <w:tabs>
          <w:tab w:val="left" w:pos="709"/>
        </w:tabs>
        <w:spacing w:after="120"/>
        <w:ind w:left="709" w:right="429" w:hanging="425"/>
        <w:jc w:val="left"/>
      </w:pPr>
      <w:r>
        <w:t>Εάν η υποδομή διαχείρισης αποβλήτων δεν προορίζεται για χρήση από συγκεκριμένο τελικό χρήστη,</w:t>
      </w:r>
    </w:p>
    <w:p w14:paraId="2DDC73F7" w14:textId="77777777" w:rsidR="007B1A84" w:rsidRDefault="002A0261" w:rsidP="00C1716A">
      <w:pPr>
        <w:pStyle w:val="P68B1DB1-a58"/>
        <w:numPr>
          <w:ilvl w:val="1"/>
          <w:numId w:val="3"/>
        </w:numPr>
        <w:tabs>
          <w:tab w:val="left" w:pos="709"/>
        </w:tabs>
        <w:spacing w:after="120"/>
        <w:ind w:left="709" w:hanging="425"/>
        <w:jc w:val="left"/>
      </w:pPr>
      <w:r>
        <w:t>Όλοι οι χρήστες απολαύουν ισότιμης και αμερόληπτης πρόσβασης στην υποδομή, και</w:t>
      </w:r>
    </w:p>
    <w:p w14:paraId="7D59A923" w14:textId="77777777" w:rsidR="007B1A84" w:rsidRDefault="002A0261" w:rsidP="00C1716A">
      <w:pPr>
        <w:pStyle w:val="P68B1DB1-a58"/>
        <w:numPr>
          <w:ilvl w:val="1"/>
          <w:numId w:val="3"/>
        </w:numPr>
        <w:tabs>
          <w:tab w:val="left" w:pos="709"/>
        </w:tabs>
        <w:spacing w:after="120"/>
        <w:ind w:left="709" w:hanging="425"/>
        <w:jc w:val="left"/>
      </w:pPr>
      <w:r>
        <w:t>Η πολιτική τιμολόγησης των υποδομών για τους χρήστες καθορίζεται με τους όρους της αγοράς.</w:t>
      </w:r>
    </w:p>
    <w:p w14:paraId="73BA9ED2" w14:textId="77777777" w:rsidR="007B1A84" w:rsidRDefault="002A0261" w:rsidP="003E0C33">
      <w:pPr>
        <w:pStyle w:val="BodyText"/>
        <w:spacing w:after="120"/>
        <w:ind w:left="25" w:right="416"/>
        <w:jc w:val="both"/>
      </w:pPr>
      <w:r>
        <w:t>Όταν οι τελικοί χρήστες (επιχειρήσεις) δεν καταβάλλουν κατάλληλη αμοιβή για την υπηρεσία (δηλαδή, δεν καταβάλλουν τέλος που να διασφαλίζει την πλήρη ανάκτηση του κόστους), οι εν λόγω τελικοί χρήστες θεωρούνται δικαιούχοι κρατικών ενισχύσεων και η συμμόρφωση με τους κανόνες περί κρατικών ενισχύσεων πρέπει να αξιολογείται και σε επίπεδο τελικών χρηστών.</w:t>
      </w:r>
    </w:p>
    <w:p w14:paraId="596BC8E9" w14:textId="77777777" w:rsidR="007B1A84" w:rsidRDefault="007B1A84" w:rsidP="003E0C33">
      <w:pPr>
        <w:pStyle w:val="BodyText"/>
        <w:spacing w:after="120"/>
        <w:rPr>
          <w:sz w:val="20"/>
        </w:rPr>
      </w:pPr>
    </w:p>
    <w:p w14:paraId="17077EC5" w14:textId="77777777" w:rsidR="007B1A84" w:rsidRDefault="007B1A84" w:rsidP="003E0C33">
      <w:pPr>
        <w:pStyle w:val="BodyText"/>
        <w:spacing w:after="120"/>
        <w:rPr>
          <w:sz w:val="20"/>
        </w:rPr>
      </w:pPr>
    </w:p>
    <w:p w14:paraId="1597032B" w14:textId="77777777" w:rsidR="007B1A84" w:rsidRDefault="007B1A84" w:rsidP="003E0C33">
      <w:pPr>
        <w:pStyle w:val="BodyText"/>
        <w:spacing w:after="120"/>
        <w:rPr>
          <w:sz w:val="20"/>
        </w:rPr>
      </w:pPr>
    </w:p>
    <w:p w14:paraId="5D61338E" w14:textId="77777777" w:rsidR="007B1A84" w:rsidRDefault="007B1A84" w:rsidP="003E0C33">
      <w:pPr>
        <w:pStyle w:val="BodyText"/>
        <w:spacing w:after="120"/>
        <w:rPr>
          <w:sz w:val="20"/>
        </w:rPr>
      </w:pPr>
    </w:p>
    <w:p w14:paraId="7503AB7E" w14:textId="77777777" w:rsidR="007B1A84" w:rsidRDefault="007B1A84" w:rsidP="003E0C33">
      <w:pPr>
        <w:pStyle w:val="BodyText"/>
        <w:spacing w:after="120"/>
        <w:rPr>
          <w:sz w:val="20"/>
        </w:rPr>
      </w:pPr>
    </w:p>
    <w:p w14:paraId="28D709F8" w14:textId="77777777" w:rsidR="007B1A84" w:rsidRDefault="007B1A84" w:rsidP="003E0C33">
      <w:pPr>
        <w:pStyle w:val="BodyText"/>
        <w:spacing w:after="120"/>
        <w:rPr>
          <w:sz w:val="20"/>
        </w:rPr>
      </w:pPr>
    </w:p>
    <w:p w14:paraId="5CA6390C" w14:textId="77777777" w:rsidR="007B1A84" w:rsidRDefault="007B1A84" w:rsidP="003E0C33">
      <w:pPr>
        <w:pStyle w:val="BodyText"/>
        <w:spacing w:after="120"/>
        <w:rPr>
          <w:sz w:val="20"/>
        </w:rPr>
      </w:pPr>
    </w:p>
    <w:p w14:paraId="6FE765E9" w14:textId="77777777" w:rsidR="007B1A84" w:rsidRDefault="007B1A84" w:rsidP="003E0C33">
      <w:pPr>
        <w:pStyle w:val="BodyText"/>
        <w:spacing w:after="120"/>
        <w:rPr>
          <w:sz w:val="20"/>
        </w:rPr>
      </w:pPr>
    </w:p>
    <w:p w14:paraId="1B3D92B5" w14:textId="77777777" w:rsidR="007B1A84" w:rsidRDefault="007B1A84" w:rsidP="003E0C33">
      <w:pPr>
        <w:pStyle w:val="BodyText"/>
        <w:spacing w:after="120"/>
        <w:rPr>
          <w:sz w:val="20"/>
        </w:rPr>
      </w:pPr>
    </w:p>
    <w:p w14:paraId="2431F55C" w14:textId="77777777" w:rsidR="007B1A84" w:rsidRDefault="007B1A84" w:rsidP="003E0C33">
      <w:pPr>
        <w:pStyle w:val="BodyText"/>
        <w:spacing w:after="120"/>
        <w:rPr>
          <w:sz w:val="20"/>
        </w:rPr>
      </w:pPr>
    </w:p>
    <w:p w14:paraId="2B9E8877" w14:textId="77777777" w:rsidR="007B1A84" w:rsidRDefault="007B1A84" w:rsidP="003E0C33">
      <w:pPr>
        <w:pStyle w:val="BodyText"/>
        <w:spacing w:after="120"/>
        <w:rPr>
          <w:sz w:val="20"/>
        </w:rPr>
      </w:pPr>
    </w:p>
    <w:p w14:paraId="7BE5FFFD" w14:textId="77777777" w:rsidR="007B1A84" w:rsidRDefault="007B1A84" w:rsidP="003E0C33">
      <w:pPr>
        <w:pStyle w:val="BodyText"/>
        <w:spacing w:after="120"/>
        <w:rPr>
          <w:sz w:val="20"/>
        </w:rPr>
      </w:pPr>
    </w:p>
    <w:p w14:paraId="419A870B" w14:textId="77777777" w:rsidR="007B1A84" w:rsidRDefault="007B1A84" w:rsidP="003E0C33">
      <w:pPr>
        <w:pStyle w:val="BodyText"/>
        <w:spacing w:after="120"/>
        <w:rPr>
          <w:sz w:val="20"/>
        </w:rPr>
      </w:pPr>
    </w:p>
    <w:p w14:paraId="603B8DD5" w14:textId="77777777" w:rsidR="007B1A84" w:rsidRDefault="007B1A84" w:rsidP="003E0C33">
      <w:pPr>
        <w:pStyle w:val="BodyText"/>
        <w:spacing w:after="120"/>
        <w:rPr>
          <w:sz w:val="20"/>
        </w:rPr>
      </w:pPr>
    </w:p>
    <w:p w14:paraId="67BD003D" w14:textId="77777777" w:rsidR="007B1A84" w:rsidRDefault="007B1A84" w:rsidP="003E0C33">
      <w:pPr>
        <w:pStyle w:val="BodyText"/>
        <w:spacing w:after="120"/>
        <w:rPr>
          <w:sz w:val="20"/>
        </w:rPr>
      </w:pPr>
    </w:p>
    <w:p w14:paraId="58BF1886" w14:textId="77777777" w:rsidR="007B1A84" w:rsidRDefault="007B1A84" w:rsidP="003E0C33">
      <w:pPr>
        <w:pStyle w:val="BodyText"/>
        <w:spacing w:after="120"/>
        <w:rPr>
          <w:sz w:val="20"/>
        </w:rPr>
      </w:pPr>
    </w:p>
    <w:p w14:paraId="361CA9E4" w14:textId="77777777" w:rsidR="007B1A84" w:rsidRDefault="007B1A84" w:rsidP="003E0C33">
      <w:pPr>
        <w:pStyle w:val="BodyText"/>
        <w:spacing w:after="120"/>
        <w:rPr>
          <w:sz w:val="20"/>
        </w:rPr>
      </w:pPr>
    </w:p>
    <w:p w14:paraId="04AE682C" w14:textId="39E5C29C" w:rsidR="00C1716A" w:rsidRDefault="00C1716A">
      <w:pPr>
        <w:rPr>
          <w:sz w:val="20"/>
        </w:rPr>
      </w:pPr>
      <w:r>
        <w:rPr>
          <w:sz w:val="20"/>
        </w:rPr>
        <w:br w:type="page"/>
      </w:r>
    </w:p>
    <w:p w14:paraId="3E67BCFA" w14:textId="77777777" w:rsidR="007B1A84" w:rsidRDefault="007B1A84" w:rsidP="003E0C33">
      <w:pPr>
        <w:pStyle w:val="BodyText"/>
        <w:spacing w:after="120"/>
        <w:rPr>
          <w:sz w:val="20"/>
        </w:rPr>
      </w:pPr>
    </w:p>
    <w:p w14:paraId="5DAA222F" w14:textId="77777777" w:rsidR="007B1A84" w:rsidRDefault="002A0261" w:rsidP="003E0C33">
      <w:pPr>
        <w:pStyle w:val="P68B1DB1-231"/>
        <w:spacing w:after="120"/>
        <w:ind w:left="25" w:firstLine="0"/>
        <w:jc w:val="both"/>
      </w:pPr>
      <w:bookmarkStart w:id="33" w:name="_bookmark85"/>
      <w:bookmarkEnd w:id="33"/>
      <w:r>
        <w:t>Παράρτημα 3 Παραδείγματα διαχωρισμού λογαριασμών</w:t>
      </w:r>
    </w:p>
    <w:p w14:paraId="62EE46DB" w14:textId="77777777" w:rsidR="007B1A84" w:rsidRDefault="002A0261" w:rsidP="003E0C33">
      <w:pPr>
        <w:pStyle w:val="BodyText"/>
        <w:spacing w:after="120"/>
        <w:ind w:left="25" w:right="415"/>
        <w:jc w:val="both"/>
      </w:pPr>
      <w:r>
        <w:t>Τα μοντέλα διαχωρισμού λογαριασμών (παραδείγματα) παρουσιάζονται από τον ταχυδρομικό τομέα. Λεπτομέρειες σχετικά με τον τρόπο με τον οποίο διασφαλίζεται ο διαχωρισμός των λογαριασμών είναι διαθέσιμες στις αποφάσεις της Ευρωπαϊκής Επιτροπής (άμεσα προσβάσιμες μέσω του συνδέσμου για τον αριθμό της υπόθεσης).</w:t>
      </w:r>
    </w:p>
    <w:p w14:paraId="6A211AF8" w14:textId="5990B368" w:rsidR="007B1A84" w:rsidRDefault="002A0261" w:rsidP="003E0C33">
      <w:pPr>
        <w:pStyle w:val="Heading7"/>
        <w:numPr>
          <w:ilvl w:val="0"/>
          <w:numId w:val="2"/>
        </w:numPr>
        <w:tabs>
          <w:tab w:val="left" w:pos="263"/>
        </w:tabs>
        <w:spacing w:after="120"/>
        <w:ind w:left="263" w:hanging="238"/>
        <w:rPr>
          <w:b w:val="0"/>
        </w:rPr>
      </w:pPr>
      <w:r>
        <w:t>Αντιστάθμιση της Poczta Polska για το καθαρό κόστος της ΥΠΚΥ 2013-2015 (Pola</w:t>
      </w:r>
      <w:hyperlink r:id="rId20">
        <w:r>
          <w:t>nd)</w:t>
        </w:r>
      </w:hyperlink>
      <w:r>
        <w:t xml:space="preserve"> </w:t>
      </w:r>
      <w:hyperlink r:id="rId21">
        <w:r>
          <w:rPr>
            <w:b w:val="0"/>
            <w:color w:val="002E67"/>
            <w:u w:val="single" w:color="002E67"/>
          </w:rPr>
          <w:t>SA.</w:t>
        </w:r>
      </w:hyperlink>
      <w:r>
        <w:rPr>
          <w:b w:val="0"/>
          <w:color w:val="002E67"/>
          <w:u w:val="single" w:color="002E67"/>
        </w:rPr>
        <w:t>38869</w:t>
      </w:r>
    </w:p>
    <w:p w14:paraId="13148D04" w14:textId="77777777" w:rsidR="007B1A84" w:rsidRDefault="002A0261" w:rsidP="003E0C33">
      <w:pPr>
        <w:pStyle w:val="P68B1DB1-a39"/>
        <w:spacing w:after="120"/>
        <w:ind w:left="25" w:right="413"/>
        <w:jc w:val="both"/>
      </w:pPr>
      <w:r>
        <w:t>Η</w:t>
      </w:r>
      <w:r>
        <w:t xml:space="preserve"> </w:t>
      </w:r>
      <w:r>
        <w:t>κοστολόγηση</w:t>
      </w:r>
      <w:r>
        <w:t xml:space="preserve"> </w:t>
      </w:r>
      <w:r>
        <w:t>τηρείται</w:t>
      </w:r>
      <w:r>
        <w:t xml:space="preserve"> </w:t>
      </w:r>
      <w:r>
        <w:t>με</w:t>
      </w:r>
      <w:r>
        <w:t xml:space="preserve"> </w:t>
      </w:r>
      <w:r>
        <w:t>βάση</w:t>
      </w:r>
      <w:r>
        <w:t xml:space="preserve"> </w:t>
      </w:r>
      <w:r>
        <w:t>τη</w:t>
      </w:r>
      <w:r>
        <w:t xml:space="preserve"> </w:t>
      </w:r>
      <w:r>
        <w:t>συνεπή</w:t>
      </w:r>
      <w:r>
        <w:t xml:space="preserve"> </w:t>
      </w:r>
      <w:r>
        <w:t>εφαρμογή</w:t>
      </w:r>
      <w:r>
        <w:t xml:space="preserve"> </w:t>
      </w:r>
      <w:r>
        <w:t>και</w:t>
      </w:r>
      <w:r>
        <w:t xml:space="preserve"> </w:t>
      </w:r>
      <w:r>
        <w:t>αντικειμενικά</w:t>
      </w:r>
      <w:r>
        <w:t xml:space="preserve"> </w:t>
      </w:r>
      <w:r>
        <w:t>αιτιολογημένες</w:t>
      </w:r>
      <w:r>
        <w:t xml:space="preserve"> </w:t>
      </w:r>
      <w:r>
        <w:t>αρχές</w:t>
      </w:r>
      <w:r>
        <w:t xml:space="preserve"> </w:t>
      </w:r>
      <w:r>
        <w:t>της</w:t>
      </w:r>
      <w:r>
        <w:t xml:space="preserve"> </w:t>
      </w:r>
      <w:r>
        <w:t>λογιστικής</w:t>
      </w:r>
      <w:r>
        <w:t xml:space="preserve"> </w:t>
      </w:r>
      <w:r>
        <w:t>εσόδων</w:t>
      </w:r>
      <w:r>
        <w:t xml:space="preserve"> </w:t>
      </w:r>
      <w:r>
        <w:t>και</w:t>
      </w:r>
      <w:r>
        <w:t xml:space="preserve"> </w:t>
      </w:r>
      <w:r>
        <w:t>κοστολόγησης</w:t>
      </w:r>
      <w:r>
        <w:t xml:space="preserve">, </w:t>
      </w:r>
      <w:r>
        <w:t>ώστε</w:t>
      </w:r>
      <w:r>
        <w:t xml:space="preserve"> </w:t>
      </w:r>
      <w:r>
        <w:t>να</w:t>
      </w:r>
      <w:r>
        <w:t xml:space="preserve"> </w:t>
      </w:r>
      <w:r>
        <w:t>είναι</w:t>
      </w:r>
      <w:r>
        <w:t xml:space="preserve"> </w:t>
      </w:r>
      <w:r>
        <w:t>επίσης</w:t>
      </w:r>
      <w:r>
        <w:t xml:space="preserve"> </w:t>
      </w:r>
      <w:r>
        <w:t>δυνατή</w:t>
      </w:r>
      <w:r>
        <w:t xml:space="preserve"> </w:t>
      </w:r>
      <w:r>
        <w:t>η</w:t>
      </w:r>
      <w:r>
        <w:t xml:space="preserve"> </w:t>
      </w:r>
      <w:r>
        <w:t>επαλήθευση</w:t>
      </w:r>
      <w:r>
        <w:t xml:space="preserve"> </w:t>
      </w:r>
      <w:r>
        <w:t>των</w:t>
      </w:r>
      <w:r>
        <w:t xml:space="preserve"> </w:t>
      </w:r>
      <w:r>
        <w:t>εσωτερικών</w:t>
      </w:r>
      <w:r>
        <w:t xml:space="preserve"> </w:t>
      </w:r>
      <w:r>
        <w:t>μεταφορών</w:t>
      </w:r>
      <w:r>
        <w:t xml:space="preserve"> </w:t>
      </w:r>
      <w:r>
        <w:t>μεταξύ</w:t>
      </w:r>
      <w:r>
        <w:t xml:space="preserve"> </w:t>
      </w:r>
      <w:r>
        <w:t>δραστηριοτήτων</w:t>
      </w:r>
      <w:r>
        <w:t>.</w:t>
      </w:r>
    </w:p>
    <w:p w14:paraId="16727BAB" w14:textId="77777777" w:rsidR="007B1A84" w:rsidRDefault="002A0261" w:rsidP="003E0C33">
      <w:pPr>
        <w:pStyle w:val="P68B1DB1-a39"/>
        <w:spacing w:after="120"/>
        <w:ind w:left="25" w:right="414"/>
        <w:jc w:val="both"/>
      </w:pPr>
      <w:r>
        <w:t>Για</w:t>
      </w:r>
      <w:r>
        <w:t xml:space="preserve"> </w:t>
      </w:r>
      <w:r>
        <w:t>τη</w:t>
      </w:r>
      <w:r>
        <w:t xml:space="preserve"> </w:t>
      </w:r>
      <w:r>
        <w:t>λογιστική</w:t>
      </w:r>
      <w:r>
        <w:t xml:space="preserve"> </w:t>
      </w:r>
      <w:r>
        <w:t>της</w:t>
      </w:r>
      <w:r>
        <w:t xml:space="preserve">, </w:t>
      </w:r>
      <w:r>
        <w:t>η</w:t>
      </w:r>
      <w:r>
        <w:t xml:space="preserve"> Poczta Polska (PP) </w:t>
      </w:r>
      <w:r>
        <w:t>χρησιμοποιεί</w:t>
      </w:r>
      <w:r>
        <w:t xml:space="preserve"> </w:t>
      </w:r>
      <w:r>
        <w:t>μια</w:t>
      </w:r>
      <w:r>
        <w:t xml:space="preserve"> </w:t>
      </w:r>
      <w:r>
        <w:t>μεθοδολογία</w:t>
      </w:r>
      <w:r>
        <w:t xml:space="preserve"> </w:t>
      </w:r>
      <w:r>
        <w:t>κοστολόγησης</w:t>
      </w:r>
      <w:r>
        <w:t xml:space="preserve"> </w:t>
      </w:r>
      <w:r>
        <w:t>βάσει</w:t>
      </w:r>
      <w:r>
        <w:t xml:space="preserve"> </w:t>
      </w:r>
      <w:r>
        <w:t>δραστηριοτήτων</w:t>
      </w:r>
      <w:r>
        <w:t xml:space="preserve"> (ABC), </w:t>
      </w:r>
      <w:r>
        <w:t>η</w:t>
      </w:r>
      <w:r>
        <w:t xml:space="preserve"> </w:t>
      </w:r>
      <w:r>
        <w:t>οποία</w:t>
      </w:r>
      <w:r>
        <w:t xml:space="preserve"> </w:t>
      </w:r>
      <w:r>
        <w:t>κατανέμει</w:t>
      </w:r>
      <w:r>
        <w:t xml:space="preserve"> </w:t>
      </w:r>
      <w:r>
        <w:t>όλες</w:t>
      </w:r>
      <w:r>
        <w:t xml:space="preserve"> </w:t>
      </w:r>
      <w:r>
        <w:t>τις</w:t>
      </w:r>
      <w:r>
        <w:t xml:space="preserve"> </w:t>
      </w:r>
      <w:r>
        <w:t>λειτουργικές</w:t>
      </w:r>
      <w:r>
        <w:t xml:space="preserve"> </w:t>
      </w:r>
      <w:r>
        <w:t>δαπάνες</w:t>
      </w:r>
      <w:r>
        <w:t xml:space="preserve"> </w:t>
      </w:r>
      <w:r>
        <w:t>στα</w:t>
      </w:r>
      <w:r>
        <w:t xml:space="preserve"> </w:t>
      </w:r>
      <w:r>
        <w:t>διάφορα</w:t>
      </w:r>
      <w:r>
        <w:t xml:space="preserve"> </w:t>
      </w:r>
      <w:r>
        <w:t>προϊόντα</w:t>
      </w:r>
      <w:r>
        <w:t xml:space="preserve">, </w:t>
      </w:r>
      <w:r>
        <w:t>σύμφωνα</w:t>
      </w:r>
      <w:r>
        <w:t xml:space="preserve"> </w:t>
      </w:r>
      <w:r>
        <w:t>με</w:t>
      </w:r>
      <w:r>
        <w:t xml:space="preserve"> </w:t>
      </w:r>
      <w:r>
        <w:t>τη</w:t>
      </w:r>
      <w:r>
        <w:t xml:space="preserve"> </w:t>
      </w:r>
      <w:r>
        <w:t>μέθοδο</w:t>
      </w:r>
      <w:r>
        <w:t xml:space="preserve"> Fully Distributed Costing (FDC). </w:t>
      </w:r>
      <w:r>
        <w:t>Όλες</w:t>
      </w:r>
      <w:r>
        <w:t xml:space="preserve"> </w:t>
      </w:r>
      <w:r>
        <w:t>οι</w:t>
      </w:r>
      <w:r>
        <w:t xml:space="preserve"> </w:t>
      </w:r>
      <w:r>
        <w:t>λειτουργικές</w:t>
      </w:r>
      <w:r>
        <w:t xml:space="preserve"> </w:t>
      </w:r>
      <w:r>
        <w:t>δαπάνες</w:t>
      </w:r>
      <w:r>
        <w:t xml:space="preserve"> </w:t>
      </w:r>
      <w:r>
        <w:t>και</w:t>
      </w:r>
      <w:r>
        <w:t xml:space="preserve"> </w:t>
      </w:r>
      <w:r>
        <w:t>όλες</w:t>
      </w:r>
      <w:r>
        <w:t xml:space="preserve"> </w:t>
      </w:r>
      <w:r>
        <w:t>οι</w:t>
      </w:r>
      <w:r>
        <w:t xml:space="preserve"> </w:t>
      </w:r>
      <w:r>
        <w:t>οργανωτικές</w:t>
      </w:r>
      <w:r>
        <w:t xml:space="preserve"> </w:t>
      </w:r>
      <w:r>
        <w:t>μονάδες</w:t>
      </w:r>
      <w:r>
        <w:t xml:space="preserve"> </w:t>
      </w:r>
      <w:r>
        <w:t>της</w:t>
      </w:r>
      <w:r>
        <w:t xml:space="preserve"> </w:t>
      </w:r>
      <w:r>
        <w:t>ΡΡ</w:t>
      </w:r>
      <w:r>
        <w:t xml:space="preserve"> </w:t>
      </w:r>
      <w:r>
        <w:t>περιλαμβάνονται</w:t>
      </w:r>
      <w:r>
        <w:t xml:space="preserve"> </w:t>
      </w:r>
      <w:r>
        <w:t>στο</w:t>
      </w:r>
      <w:r>
        <w:t xml:space="preserve"> </w:t>
      </w:r>
      <w:r>
        <w:t>μοντέλο</w:t>
      </w:r>
      <w:r>
        <w:t xml:space="preserve"> </w:t>
      </w:r>
      <w:r>
        <w:t>κοστολόγησης</w:t>
      </w:r>
      <w:r>
        <w:t xml:space="preserve">, </w:t>
      </w:r>
      <w:r>
        <w:t>το</w:t>
      </w:r>
      <w:r>
        <w:t xml:space="preserve"> </w:t>
      </w:r>
      <w:r>
        <w:t>οποίο</w:t>
      </w:r>
      <w:r>
        <w:t xml:space="preserve"> </w:t>
      </w:r>
      <w:r>
        <w:t>κατασκευάζεται</w:t>
      </w:r>
      <w:r>
        <w:t xml:space="preserve"> </w:t>
      </w:r>
      <w:r>
        <w:t>με</w:t>
      </w:r>
      <w:r>
        <w:t xml:space="preserve"> </w:t>
      </w:r>
      <w:r>
        <w:t>τρία</w:t>
      </w:r>
      <w:r>
        <w:t xml:space="preserve"> </w:t>
      </w:r>
      <w:r>
        <w:t>επίπεδα</w:t>
      </w:r>
      <w:r>
        <w:t xml:space="preserve"> (</w:t>
      </w:r>
      <w:r>
        <w:t>πόροι</w:t>
      </w:r>
      <w:r>
        <w:t xml:space="preserve">, </w:t>
      </w:r>
      <w:r>
        <w:t>δραστηριότητες</w:t>
      </w:r>
      <w:r>
        <w:t xml:space="preserve"> </w:t>
      </w:r>
      <w:r>
        <w:t>και</w:t>
      </w:r>
      <w:r>
        <w:t xml:space="preserve"> </w:t>
      </w:r>
      <w:r>
        <w:t>προϊόντα</w:t>
      </w:r>
      <w:r>
        <w:t xml:space="preserve">), </w:t>
      </w:r>
      <w:r>
        <w:t>προκειμένου</w:t>
      </w:r>
      <w:r>
        <w:t xml:space="preserve"> </w:t>
      </w:r>
      <w:r>
        <w:t>να</w:t>
      </w:r>
      <w:r>
        <w:t xml:space="preserve"> </w:t>
      </w:r>
      <w:r>
        <w:t>μετρηθεί</w:t>
      </w:r>
      <w:r>
        <w:t xml:space="preserve"> </w:t>
      </w:r>
      <w:r>
        <w:t>το</w:t>
      </w:r>
      <w:r>
        <w:t xml:space="preserve"> </w:t>
      </w:r>
      <w:r>
        <w:t>κατάλληλο</w:t>
      </w:r>
      <w:r>
        <w:t xml:space="preserve"> </w:t>
      </w:r>
      <w:r>
        <w:t>μερίδιο</w:t>
      </w:r>
      <w:r>
        <w:t xml:space="preserve"> </w:t>
      </w:r>
      <w:r>
        <w:t>του</w:t>
      </w:r>
      <w:r>
        <w:t xml:space="preserve"> </w:t>
      </w:r>
      <w:r>
        <w:t>κόστους</w:t>
      </w:r>
      <w:r>
        <w:t xml:space="preserve"> </w:t>
      </w:r>
      <w:r>
        <w:t>κάθε</w:t>
      </w:r>
      <w:r>
        <w:t xml:space="preserve"> </w:t>
      </w:r>
      <w:r>
        <w:t>προϊόντος</w:t>
      </w:r>
      <w:r>
        <w:t>:</w:t>
      </w:r>
    </w:p>
    <w:p w14:paraId="40FEFEDA" w14:textId="77777777" w:rsidR="007B1A84" w:rsidRDefault="002A0261" w:rsidP="003E0C33">
      <w:pPr>
        <w:pStyle w:val="P68B1DB1-a540"/>
        <w:numPr>
          <w:ilvl w:val="1"/>
          <w:numId w:val="2"/>
        </w:numPr>
        <w:tabs>
          <w:tab w:val="left" w:pos="744"/>
          <w:tab w:val="left" w:pos="746"/>
        </w:tabs>
        <w:spacing w:after="120"/>
        <w:ind w:right="418"/>
      </w:pPr>
      <w:r>
        <w:t>Το κόστος των πόρων κατανέμεται σε δραστηριότητες ανάλογα με την κατανάλωση πόρων ανά δραστηριότητα, χρησιμοποιώντας κλειδιά που αντικατοπτρίζουν το βαθμό χρήσης. Για παράδειγμα, το κόστος μεταφοράς (π.χ. για την κατανάλωση καυσίμου) κατανέμεται σε πόρους (κατηγορίες αυτοκινήτων) οι οποίοι στη συνέχεια κατανέμονται σε δραστηριότητες, ενώ άλλες δαπάνες (π.χ. υπηρεσίες επισκευής) κατανέμονται σε πόρους (μηχανές και συσκευές) οι οποίοι στη συνέχεια κατανέμονται σε διάφορες δραστηριότητες, όπως η διαλογή επιστολών, η προετοιμασία του ταχυδρομείου (στάθμιση, σφράγιση).</w:t>
      </w:r>
    </w:p>
    <w:p w14:paraId="1183BFB9" w14:textId="77777777" w:rsidR="007B1A84" w:rsidRDefault="002A0261" w:rsidP="003E0C33">
      <w:pPr>
        <w:pStyle w:val="P68B1DB1-a540"/>
        <w:numPr>
          <w:ilvl w:val="1"/>
          <w:numId w:val="2"/>
        </w:numPr>
        <w:tabs>
          <w:tab w:val="left" w:pos="744"/>
          <w:tab w:val="left" w:pos="746"/>
        </w:tabs>
        <w:spacing w:after="120"/>
        <w:ind w:right="428"/>
      </w:pPr>
      <w:r>
        <w:t>Το βασικό κόστος δραστηριότητας κατανέμεται σε προϊόντα σύμφωνα με διάφορες κλείδες, οι οποίες συνήθως βασίζονται στην προσπάθεια ή τους όγκους εργασίας. Οι γενικές δαπάνες δραστηριότητας κατανέμονται στα προϊόντα σύμφωνα με τις δαπάνες που είχαν προηγουμένως κατανεμηθεί.</w:t>
      </w:r>
    </w:p>
    <w:p w14:paraId="065EDD79" w14:textId="77777777" w:rsidR="007B1A84" w:rsidRDefault="002A0261" w:rsidP="003E0C33">
      <w:pPr>
        <w:pStyle w:val="P68B1DB1-a540"/>
        <w:numPr>
          <w:ilvl w:val="1"/>
          <w:numId w:val="2"/>
        </w:numPr>
        <w:tabs>
          <w:tab w:val="left" w:pos="744"/>
          <w:tab w:val="left" w:pos="746"/>
        </w:tabs>
        <w:spacing w:after="120"/>
        <w:ind w:right="409"/>
      </w:pPr>
      <w:r>
        <w:t>Το κόστος κάθε προϊόντος αποτελείται από βασικά και γενικά έξοδα, τα οποία περιλαμβάνουν το κόστος υποστήριξης των πόρων και των δραστηριοτήτων. Για παράδειγμα, το κόστος παράδοσης μιας επιστολής συνίσταται στο κόστος παράδοσης του ταχυδρομικού προσωπικού (βασική δραστηριότητα), στο κόστος διαχείρισης (γενική δραστηριότητα) και στο κόστος τεχνικής υποστήριξης (υποστηρικτική δραστηριότητα).</w:t>
      </w:r>
    </w:p>
    <w:p w14:paraId="00632674" w14:textId="77777777" w:rsidR="007B1A84" w:rsidRDefault="002A0261" w:rsidP="003E0C33">
      <w:pPr>
        <w:pStyle w:val="P68B1DB1-a39"/>
        <w:spacing w:after="120"/>
        <w:ind w:left="25"/>
        <w:jc w:val="both"/>
      </w:pPr>
      <w:r>
        <w:t>Το</w:t>
      </w:r>
      <w:r>
        <w:t xml:space="preserve"> </w:t>
      </w:r>
      <w:r>
        <w:t>σχήμα</w:t>
      </w:r>
      <w:r>
        <w:t xml:space="preserve"> </w:t>
      </w:r>
      <w:r>
        <w:t>που</w:t>
      </w:r>
      <w:r>
        <w:t xml:space="preserve"> </w:t>
      </w:r>
      <w:r>
        <w:t>ακολουθεί</w:t>
      </w:r>
      <w:r>
        <w:t xml:space="preserve"> </w:t>
      </w:r>
      <w:r>
        <w:t>απεικονίζει</w:t>
      </w:r>
      <w:r>
        <w:t xml:space="preserve"> </w:t>
      </w:r>
      <w:r>
        <w:t>τη</w:t>
      </w:r>
      <w:r>
        <w:t xml:space="preserve"> </w:t>
      </w:r>
      <w:r>
        <w:t>λογιστική</w:t>
      </w:r>
      <w:r>
        <w:t xml:space="preserve"> </w:t>
      </w:r>
      <w:r>
        <w:t>μεθοδολογία</w:t>
      </w:r>
      <w:r>
        <w:t xml:space="preserve"> </w:t>
      </w:r>
      <w:r>
        <w:t>που</w:t>
      </w:r>
      <w:r>
        <w:t xml:space="preserve"> </w:t>
      </w:r>
      <w:r>
        <w:t>εφάρμοσε</w:t>
      </w:r>
      <w:r>
        <w:t xml:space="preserve"> </w:t>
      </w:r>
      <w:r>
        <w:t>η</w:t>
      </w:r>
      <w:r>
        <w:t xml:space="preserve"> </w:t>
      </w:r>
      <w:r>
        <w:t>ΡΡ</w:t>
      </w:r>
      <w:r>
        <w:t>.</w:t>
      </w:r>
    </w:p>
    <w:p w14:paraId="76C6EC28" w14:textId="77777777" w:rsidR="007B1A84" w:rsidRDefault="007B1A84" w:rsidP="003E0C33">
      <w:pPr>
        <w:spacing w:after="120"/>
        <w:jc w:val="both"/>
        <w:rPr>
          <w:rFonts w:ascii="Arial"/>
          <w:i/>
          <w:sz w:val="21"/>
        </w:rPr>
        <w:sectPr w:rsidR="007B1A84">
          <w:pgSz w:w="11910" w:h="16840"/>
          <w:pgMar w:top="1480" w:right="992" w:bottom="1340" w:left="1417" w:header="0" w:footer="1157" w:gutter="0"/>
          <w:cols w:space="720"/>
        </w:sectPr>
      </w:pPr>
    </w:p>
    <w:p w14:paraId="485EA754" w14:textId="77777777" w:rsidR="007B1A84" w:rsidRDefault="002A0261" w:rsidP="003E0C33">
      <w:pPr>
        <w:pStyle w:val="P68B1DB1-a341"/>
        <w:spacing w:after="120"/>
        <w:ind w:left="23"/>
      </w:pPr>
      <w:r>
        <w:rPr>
          <w:noProof/>
        </w:rPr>
        <w:lastRenderedPageBreak/>
        <w:drawing>
          <wp:inline distT="0" distB="0" distL="0" distR="0" wp14:anchorId="6EDA2480" wp14:editId="1989A52C">
            <wp:extent cx="5238750" cy="4667795"/>
            <wp:effectExtent l="0" t="0" r="0" b="0"/>
            <wp:docPr id="47" name="Εικόνα 47" descr="Graphical user interface, applicati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Εικόνα 47" descr="Graphical user interface, application  Description automatically generated"/>
                    <pic:cNvPicPr/>
                  </pic:nvPicPr>
                  <pic:blipFill>
                    <a:blip r:embed="rId22" cstate="print"/>
                    <a:stretch>
                      <a:fillRect/>
                    </a:stretch>
                  </pic:blipFill>
                  <pic:spPr>
                    <a:xfrm>
                      <a:off x="0" y="0"/>
                      <a:ext cx="5242877" cy="4671472"/>
                    </a:xfrm>
                    <a:prstGeom prst="rect">
                      <a:avLst/>
                    </a:prstGeom>
                  </pic:spPr>
                </pic:pic>
              </a:graphicData>
            </a:graphic>
          </wp:inline>
        </w:drawing>
      </w:r>
    </w:p>
    <w:p w14:paraId="72461FD9" w14:textId="77777777" w:rsidR="007B1A84" w:rsidRDefault="002A0261" w:rsidP="003E0C33">
      <w:pPr>
        <w:pStyle w:val="P68B1DB1-a25"/>
        <w:spacing w:after="120"/>
        <w:ind w:left="25" w:right="428"/>
        <w:jc w:val="both"/>
      </w:pPr>
      <w:r>
        <w:t>Η Επιτροπή κατέληξε στο συμπέρασμα ότι το σύστημα λογιστικής και επιμερισμού του κόστους της ΡΡ επιτρέπει την κατανομή του κόστους και των εσόδων μεταξύ δραστηριοτήτων με επαρκές επίπεδο επάρκειας. Ως εκ τούτου, η ΕΚ θεωρεί ότι η ΡΡ συμμορφώνεται με την οδηγία 2006/111/ΕΚ [οδηγία για τη δημοσιονομική διαφάνεια].</w:t>
      </w:r>
    </w:p>
    <w:p w14:paraId="0740BBFA" w14:textId="77777777" w:rsidR="007B1A84" w:rsidRDefault="002A0261" w:rsidP="003E0C33">
      <w:pPr>
        <w:pStyle w:val="Heading7"/>
        <w:numPr>
          <w:ilvl w:val="0"/>
          <w:numId w:val="2"/>
        </w:numPr>
        <w:tabs>
          <w:tab w:val="left" w:pos="264"/>
        </w:tabs>
        <w:spacing w:after="120"/>
        <w:ind w:hanging="239"/>
      </w:pPr>
      <w:r>
        <w:t xml:space="preserve">Κρατικές αντισταθμίσεις στην </w:t>
      </w:r>
      <w:r>
        <w:rPr>
          <w:u w:val="single"/>
        </w:rPr>
        <w:t>bpost</w:t>
      </w:r>
      <w:r>
        <w:t xml:space="preserve"> για την παροχή δημόσιων υπηρεσιών κατά την περίοδο 2013-2015 (Βέλγιο)</w:t>
      </w:r>
    </w:p>
    <w:p w14:paraId="597807E9" w14:textId="623A91F9" w:rsidR="007B1A84" w:rsidRDefault="002A0261" w:rsidP="003E0C33">
      <w:pPr>
        <w:pStyle w:val="P68B1DB1-a42"/>
        <w:spacing w:after="120"/>
        <w:ind w:left="25"/>
      </w:pPr>
      <w:hyperlink r:id="rId23">
        <w:r>
          <w:t>SA.31006</w:t>
        </w:r>
      </w:hyperlink>
    </w:p>
    <w:p w14:paraId="6CD46848" w14:textId="77777777" w:rsidR="007B1A84" w:rsidRDefault="002A0261" w:rsidP="003E0C33">
      <w:pPr>
        <w:pStyle w:val="P68B1DB1-a39"/>
        <w:spacing w:after="120"/>
        <w:ind w:left="25" w:right="402"/>
        <w:jc w:val="both"/>
      </w:pPr>
      <w:r>
        <w:t>Για</w:t>
      </w:r>
      <w:r>
        <w:t xml:space="preserve"> </w:t>
      </w:r>
      <w:r>
        <w:t>τη</w:t>
      </w:r>
      <w:r>
        <w:t xml:space="preserve"> </w:t>
      </w:r>
      <w:r>
        <w:t>λογιστική</w:t>
      </w:r>
      <w:r>
        <w:t xml:space="preserve"> </w:t>
      </w:r>
      <w:r>
        <w:t>του</w:t>
      </w:r>
      <w:r>
        <w:t xml:space="preserve"> </w:t>
      </w:r>
      <w:r>
        <w:t>κόστους</w:t>
      </w:r>
      <w:r>
        <w:t xml:space="preserve">, </w:t>
      </w:r>
      <w:r>
        <w:t>η</w:t>
      </w:r>
      <w:r>
        <w:t xml:space="preserve"> bpost (Belgium post) </w:t>
      </w:r>
      <w:r>
        <w:t>χρησιμοποιεί</w:t>
      </w:r>
      <w:r>
        <w:t xml:space="preserve"> </w:t>
      </w:r>
      <w:r>
        <w:t>μια</w:t>
      </w:r>
      <w:r>
        <w:t xml:space="preserve"> </w:t>
      </w:r>
      <w:r>
        <w:t>μεθοδολογία</w:t>
      </w:r>
      <w:r>
        <w:t xml:space="preserve"> </w:t>
      </w:r>
      <w:r>
        <w:t>κοστολόγησης</w:t>
      </w:r>
      <w:r>
        <w:t xml:space="preserve"> </w:t>
      </w:r>
      <w:r>
        <w:t>βάσει</w:t>
      </w:r>
      <w:r>
        <w:t xml:space="preserve"> </w:t>
      </w:r>
      <w:r>
        <w:t>δραστηριοτήτων</w:t>
      </w:r>
      <w:r>
        <w:t xml:space="preserve"> (ABC), </w:t>
      </w:r>
      <w:r>
        <w:t>η</w:t>
      </w:r>
      <w:r>
        <w:t xml:space="preserve"> </w:t>
      </w:r>
      <w:r>
        <w:t>οποία</w:t>
      </w:r>
      <w:r>
        <w:t xml:space="preserve"> </w:t>
      </w:r>
      <w:r>
        <w:t>κατανέμει</w:t>
      </w:r>
      <w:r>
        <w:t xml:space="preserve"> </w:t>
      </w:r>
      <w:r>
        <w:t>όλες</w:t>
      </w:r>
      <w:r>
        <w:t xml:space="preserve"> </w:t>
      </w:r>
      <w:r>
        <w:t>τις</w:t>
      </w:r>
      <w:r>
        <w:t xml:space="preserve"> </w:t>
      </w:r>
      <w:r>
        <w:t>λειτουργικές</w:t>
      </w:r>
      <w:r>
        <w:t xml:space="preserve"> </w:t>
      </w:r>
      <w:r>
        <w:t>δαπάνες</w:t>
      </w:r>
      <w:r>
        <w:t xml:space="preserve">, </w:t>
      </w:r>
      <w:r>
        <w:t>μέχρι</w:t>
      </w:r>
      <w:r>
        <w:t xml:space="preserve"> </w:t>
      </w:r>
      <w:r>
        <w:t>το</w:t>
      </w:r>
      <w:r>
        <w:t xml:space="preserve"> </w:t>
      </w:r>
      <w:r>
        <w:t>επίπεδο</w:t>
      </w:r>
      <w:r>
        <w:t xml:space="preserve"> </w:t>
      </w:r>
      <w:r>
        <w:t>των</w:t>
      </w:r>
      <w:r>
        <w:t xml:space="preserve"> </w:t>
      </w:r>
      <w:r>
        <w:t>κερδών</w:t>
      </w:r>
      <w:r>
        <w:t xml:space="preserve"> </w:t>
      </w:r>
      <w:r>
        <w:t>προ</w:t>
      </w:r>
      <w:r>
        <w:t xml:space="preserve"> </w:t>
      </w:r>
      <w:r>
        <w:t>τόκων</w:t>
      </w:r>
      <w:r>
        <w:t xml:space="preserve"> </w:t>
      </w:r>
      <w:r>
        <w:t>και</w:t>
      </w:r>
      <w:r>
        <w:t xml:space="preserve"> </w:t>
      </w:r>
      <w:r>
        <w:t>φόρων</w:t>
      </w:r>
      <w:r>
        <w:t xml:space="preserve"> (EBIT), </w:t>
      </w:r>
      <w:r>
        <w:t>στα</w:t>
      </w:r>
      <w:r>
        <w:t xml:space="preserve"> </w:t>
      </w:r>
      <w:r>
        <w:t>διάφορα</w:t>
      </w:r>
      <w:r>
        <w:t xml:space="preserve"> </w:t>
      </w:r>
      <w:r>
        <w:t>προϊόντα</w:t>
      </w:r>
      <w:r>
        <w:t xml:space="preserve">, </w:t>
      </w:r>
      <w:r>
        <w:t>σύμφωνα</w:t>
      </w:r>
      <w:r>
        <w:t xml:space="preserve"> </w:t>
      </w:r>
      <w:r>
        <w:t>με</w:t>
      </w:r>
      <w:r>
        <w:t xml:space="preserve"> </w:t>
      </w:r>
      <w:r>
        <w:t>τη</w:t>
      </w:r>
      <w:r>
        <w:t xml:space="preserve"> </w:t>
      </w:r>
      <w:r>
        <w:t>μέθοδο</w:t>
      </w:r>
      <w:r>
        <w:t xml:space="preserve"> Fully Distributed Costing (FDC).</w:t>
      </w:r>
    </w:p>
    <w:p w14:paraId="2BB18EEA" w14:textId="77777777" w:rsidR="007B1A84" w:rsidRDefault="002A0261" w:rsidP="003E0C33">
      <w:pPr>
        <w:pStyle w:val="P68B1DB1-a39"/>
        <w:spacing w:after="120"/>
        <w:ind w:left="25" w:right="413"/>
        <w:jc w:val="both"/>
      </w:pPr>
      <w:r>
        <w:t>Το</w:t>
      </w:r>
      <w:r>
        <w:t xml:space="preserve"> </w:t>
      </w:r>
      <w:r>
        <w:t>πεδίο</w:t>
      </w:r>
      <w:r>
        <w:t xml:space="preserve"> </w:t>
      </w:r>
      <w:r>
        <w:t>εφαρμογής</w:t>
      </w:r>
      <w:r>
        <w:t xml:space="preserve"> </w:t>
      </w:r>
      <w:r>
        <w:t>της</w:t>
      </w:r>
      <w:r>
        <w:t xml:space="preserve"> </w:t>
      </w:r>
      <w:r>
        <w:t>κοστολόγησης</w:t>
      </w:r>
      <w:r>
        <w:t xml:space="preserve"> </w:t>
      </w:r>
      <w:r>
        <w:t>περιλαμβάνει</w:t>
      </w:r>
      <w:r>
        <w:t xml:space="preserve"> </w:t>
      </w:r>
      <w:r>
        <w:t>όλες</w:t>
      </w:r>
      <w:r>
        <w:t xml:space="preserve"> </w:t>
      </w:r>
      <w:r>
        <w:t>τις</w:t>
      </w:r>
      <w:r>
        <w:t xml:space="preserve"> </w:t>
      </w:r>
      <w:r>
        <w:t>λειτουργικές</w:t>
      </w:r>
      <w:r>
        <w:t xml:space="preserve"> </w:t>
      </w:r>
      <w:r>
        <w:t>δαπάνες</w:t>
      </w:r>
      <w:r>
        <w:t xml:space="preserve"> </w:t>
      </w:r>
      <w:r>
        <w:t>και</w:t>
      </w:r>
      <w:r>
        <w:t xml:space="preserve"> </w:t>
      </w:r>
      <w:r>
        <w:t>όλες</w:t>
      </w:r>
      <w:r>
        <w:t xml:space="preserve"> </w:t>
      </w:r>
      <w:r>
        <w:t>τις</w:t>
      </w:r>
      <w:r>
        <w:t xml:space="preserve"> </w:t>
      </w:r>
      <w:r>
        <w:t>οργανωτικές</w:t>
      </w:r>
      <w:r>
        <w:t xml:space="preserve"> </w:t>
      </w:r>
      <w:r>
        <w:t>μονάδες</w:t>
      </w:r>
      <w:r>
        <w:t xml:space="preserve"> </w:t>
      </w:r>
      <w:r>
        <w:t>της</w:t>
      </w:r>
      <w:r>
        <w:t xml:space="preserve"> bpost. </w:t>
      </w:r>
      <w:r>
        <w:t>Η</w:t>
      </w:r>
      <w:r>
        <w:t xml:space="preserve"> </w:t>
      </w:r>
      <w:r>
        <w:t>μεθοδολογία</w:t>
      </w:r>
      <w:r>
        <w:t xml:space="preserve"> </w:t>
      </w:r>
      <w:r>
        <w:t>κοστολόγησης</w:t>
      </w:r>
      <w:r>
        <w:t xml:space="preserve"> </w:t>
      </w:r>
      <w:r>
        <w:t>αφορά</w:t>
      </w:r>
      <w:r>
        <w:t xml:space="preserve"> </w:t>
      </w:r>
      <w:r>
        <w:t>τρία</w:t>
      </w:r>
      <w:r>
        <w:t xml:space="preserve"> </w:t>
      </w:r>
      <w:r>
        <w:t>επίπεδα</w:t>
      </w:r>
      <w:r>
        <w:t xml:space="preserve">: </w:t>
      </w:r>
      <w:r>
        <w:t>πόροι</w:t>
      </w:r>
      <w:r>
        <w:t xml:space="preserve">, </w:t>
      </w:r>
      <w:r>
        <w:t>δραστηριότητες</w:t>
      </w:r>
      <w:r>
        <w:t xml:space="preserve"> </w:t>
      </w:r>
      <w:r>
        <w:t>και</w:t>
      </w:r>
      <w:r>
        <w:t xml:space="preserve"> </w:t>
      </w:r>
      <w:r>
        <w:t>προϊόντα</w:t>
      </w:r>
      <w:r>
        <w:t xml:space="preserve">. </w:t>
      </w:r>
      <w:r>
        <w:t>Στόχος</w:t>
      </w:r>
      <w:r>
        <w:t xml:space="preserve"> </w:t>
      </w:r>
      <w:r>
        <w:t>είναι</w:t>
      </w:r>
      <w:r>
        <w:t xml:space="preserve"> </w:t>
      </w:r>
      <w:r>
        <w:t>ο</w:t>
      </w:r>
      <w:r>
        <w:t xml:space="preserve"> </w:t>
      </w:r>
      <w:r>
        <w:t>υπολογισμός</w:t>
      </w:r>
      <w:r>
        <w:t xml:space="preserve"> </w:t>
      </w:r>
      <w:r>
        <w:t>του</w:t>
      </w:r>
      <w:r>
        <w:t xml:space="preserve"> </w:t>
      </w:r>
      <w:r>
        <w:t>κατάλληλου</w:t>
      </w:r>
      <w:r>
        <w:t xml:space="preserve"> </w:t>
      </w:r>
      <w:r>
        <w:t>μεριδίου</w:t>
      </w:r>
      <w:r>
        <w:t xml:space="preserve"> </w:t>
      </w:r>
      <w:r>
        <w:t>του</w:t>
      </w:r>
      <w:r>
        <w:t xml:space="preserve"> </w:t>
      </w:r>
      <w:r>
        <w:t>κόστους</w:t>
      </w:r>
      <w:r>
        <w:t xml:space="preserve"> </w:t>
      </w:r>
      <w:r>
        <w:t>κάθε</w:t>
      </w:r>
      <w:r>
        <w:t xml:space="preserve"> </w:t>
      </w:r>
      <w:r>
        <w:t>προϊόντος</w:t>
      </w:r>
      <w:r>
        <w:t>.</w:t>
      </w:r>
    </w:p>
    <w:p w14:paraId="2BAEB3DC" w14:textId="77777777" w:rsidR="0004755B" w:rsidRDefault="002A0261" w:rsidP="0004755B">
      <w:pPr>
        <w:pStyle w:val="P68B1DB1-a39"/>
        <w:spacing w:after="120"/>
        <w:ind w:left="25" w:right="399"/>
        <w:jc w:val="both"/>
        <w:rPr>
          <w:lang w:val="el-GR"/>
        </w:rPr>
      </w:pPr>
      <w:r>
        <w:t>Το</w:t>
      </w:r>
      <w:r>
        <w:t xml:space="preserve"> </w:t>
      </w:r>
      <w:r>
        <w:t>κόστος</w:t>
      </w:r>
      <w:r>
        <w:t xml:space="preserve"> </w:t>
      </w:r>
      <w:r>
        <w:t>των</w:t>
      </w:r>
      <w:r>
        <w:t xml:space="preserve"> </w:t>
      </w:r>
      <w:r>
        <w:t>πόρων</w:t>
      </w:r>
      <w:r>
        <w:t xml:space="preserve"> </w:t>
      </w:r>
      <w:r>
        <w:t>κατανέμεται</w:t>
      </w:r>
      <w:r>
        <w:t xml:space="preserve"> </w:t>
      </w:r>
      <w:r>
        <w:t>σε</w:t>
      </w:r>
      <w:r>
        <w:t xml:space="preserve"> </w:t>
      </w:r>
      <w:r>
        <w:t>δραστηριότητες</w:t>
      </w:r>
      <w:r>
        <w:t xml:space="preserve"> </w:t>
      </w:r>
      <w:r>
        <w:t>ανάλογα</w:t>
      </w:r>
      <w:r>
        <w:t xml:space="preserve"> </w:t>
      </w:r>
      <w:r>
        <w:t>με</w:t>
      </w:r>
      <w:r>
        <w:t xml:space="preserve"> </w:t>
      </w:r>
      <w:r>
        <w:t>τη</w:t>
      </w:r>
      <w:r>
        <w:t xml:space="preserve"> </w:t>
      </w:r>
      <w:r>
        <w:t>φύση</w:t>
      </w:r>
      <w:r>
        <w:t xml:space="preserve"> </w:t>
      </w:r>
      <w:r>
        <w:t>τους</w:t>
      </w:r>
      <w:r>
        <w:t xml:space="preserve">: </w:t>
      </w:r>
      <w:r>
        <w:t>οι</w:t>
      </w:r>
      <w:r>
        <w:t xml:space="preserve"> </w:t>
      </w:r>
      <w:r>
        <w:t>«άμεσοι</w:t>
      </w:r>
      <w:r>
        <w:t xml:space="preserve"> </w:t>
      </w:r>
      <w:r>
        <w:t>πόροι»</w:t>
      </w:r>
      <w:r>
        <w:t xml:space="preserve"> </w:t>
      </w:r>
      <w:r>
        <w:t>συνδέονται</w:t>
      </w:r>
      <w:r>
        <w:t xml:space="preserve"> </w:t>
      </w:r>
      <w:r>
        <w:t>άμεσα</w:t>
      </w:r>
      <w:r>
        <w:t xml:space="preserve"> </w:t>
      </w:r>
      <w:r>
        <w:t>με</w:t>
      </w:r>
      <w:r>
        <w:t xml:space="preserve"> </w:t>
      </w:r>
      <w:r>
        <w:t>μια</w:t>
      </w:r>
      <w:r>
        <w:t xml:space="preserve"> </w:t>
      </w:r>
      <w:r>
        <w:t>συγκεκριμένη</w:t>
      </w:r>
      <w:r>
        <w:t xml:space="preserve"> </w:t>
      </w:r>
      <w:r>
        <w:t>δραστηριότητα</w:t>
      </w:r>
      <w:r>
        <w:t xml:space="preserve">, </w:t>
      </w:r>
      <w:r>
        <w:t>ενώ</w:t>
      </w:r>
      <w:r>
        <w:t xml:space="preserve"> </w:t>
      </w:r>
      <w:r>
        <w:t>οι</w:t>
      </w:r>
      <w:r>
        <w:t xml:space="preserve"> </w:t>
      </w:r>
      <w:r>
        <w:t>«έμμεσοι</w:t>
      </w:r>
      <w:r>
        <w:t xml:space="preserve"> </w:t>
      </w:r>
      <w:r>
        <w:t>πόροι»</w:t>
      </w:r>
      <w:r>
        <w:t xml:space="preserve"> </w:t>
      </w:r>
      <w:r>
        <w:t>συμβάλλουν</w:t>
      </w:r>
      <w:r>
        <w:t xml:space="preserve"> </w:t>
      </w:r>
      <w:r>
        <w:t>σε</w:t>
      </w:r>
      <w:r>
        <w:t xml:space="preserve"> </w:t>
      </w:r>
      <w:r>
        <w:t>διάφορες</w:t>
      </w:r>
      <w:r>
        <w:t xml:space="preserve"> </w:t>
      </w:r>
      <w:r>
        <w:t>δραστηριότητες</w:t>
      </w:r>
      <w:r>
        <w:t xml:space="preserve"> </w:t>
      </w:r>
      <w:r>
        <w:t>και</w:t>
      </w:r>
      <w:r>
        <w:t xml:space="preserve"> </w:t>
      </w:r>
      <w:r>
        <w:t>πρέπει</w:t>
      </w:r>
      <w:r>
        <w:t xml:space="preserve"> </w:t>
      </w:r>
      <w:r>
        <w:t>να</w:t>
      </w:r>
      <w:r>
        <w:t xml:space="preserve"> </w:t>
      </w:r>
      <w:r>
        <w:t>κατανεμηθούν</w:t>
      </w:r>
      <w:r>
        <w:t xml:space="preserve"> </w:t>
      </w:r>
      <w:r>
        <w:t>χρησιμοποιώντας</w:t>
      </w:r>
      <w:r>
        <w:t xml:space="preserve"> </w:t>
      </w:r>
      <w:r>
        <w:t>κλείδες</w:t>
      </w:r>
      <w:r>
        <w:t xml:space="preserve"> </w:t>
      </w:r>
      <w:r>
        <w:t>κατανομής</w:t>
      </w:r>
      <w:r>
        <w:t xml:space="preserve"> </w:t>
      </w:r>
      <w:r>
        <w:t>που</w:t>
      </w:r>
      <w:r>
        <w:t xml:space="preserve"> </w:t>
      </w:r>
      <w:r>
        <w:t>αντικατοπτρίζουν</w:t>
      </w:r>
      <w:r>
        <w:t xml:space="preserve"> </w:t>
      </w:r>
      <w:r>
        <w:t>τον</w:t>
      </w:r>
      <w:r>
        <w:t xml:space="preserve"> </w:t>
      </w:r>
      <w:r>
        <w:t>βαθμό</w:t>
      </w:r>
      <w:r>
        <w:t xml:space="preserve"> </w:t>
      </w:r>
      <w:r>
        <w:t>χρήσης</w:t>
      </w:r>
      <w:r>
        <w:t xml:space="preserve"> </w:t>
      </w:r>
      <w:r>
        <w:t>του</w:t>
      </w:r>
      <w:r>
        <w:t xml:space="preserve"> </w:t>
      </w:r>
      <w:r>
        <w:t>πόρου</w:t>
      </w:r>
      <w:r>
        <w:t xml:space="preserve"> </w:t>
      </w:r>
      <w:r>
        <w:t>από</w:t>
      </w:r>
      <w:r>
        <w:t xml:space="preserve"> </w:t>
      </w:r>
      <w:r>
        <w:t>κάθε</w:t>
      </w:r>
      <w:r>
        <w:t xml:space="preserve"> </w:t>
      </w:r>
      <w:r>
        <w:t>δραστηριότητα</w:t>
      </w:r>
      <w:r>
        <w:t xml:space="preserve">. </w:t>
      </w:r>
      <w:r>
        <w:t>Για</w:t>
      </w:r>
      <w:r>
        <w:t xml:space="preserve"> </w:t>
      </w:r>
      <w:r>
        <w:t>παράδειγμα</w:t>
      </w:r>
      <w:r>
        <w:t xml:space="preserve">, </w:t>
      </w:r>
      <w:r>
        <w:t>τα</w:t>
      </w:r>
      <w:r>
        <w:t xml:space="preserve"> </w:t>
      </w:r>
      <w:r>
        <w:t>έξοδα</w:t>
      </w:r>
      <w:r>
        <w:t xml:space="preserve"> </w:t>
      </w:r>
      <w:r>
        <w:t>μεταφοράς</w:t>
      </w:r>
      <w:r>
        <w:t xml:space="preserve"> (</w:t>
      </w:r>
      <w:r>
        <w:t>π</w:t>
      </w:r>
      <w:r>
        <w:t>.</w:t>
      </w:r>
      <w:r>
        <w:t>χ</w:t>
      </w:r>
      <w:r>
        <w:t xml:space="preserve">. </w:t>
      </w:r>
      <w:r>
        <w:t>για</w:t>
      </w:r>
      <w:r>
        <w:t xml:space="preserve"> </w:t>
      </w:r>
      <w:r>
        <w:t>την</w:t>
      </w:r>
      <w:r>
        <w:t xml:space="preserve"> </w:t>
      </w:r>
      <w:r>
        <w:t>κατανάλωση</w:t>
      </w:r>
      <w:r>
        <w:t xml:space="preserve"> </w:t>
      </w:r>
      <w:r>
        <w:t>καυσίμων</w:t>
      </w:r>
      <w:r>
        <w:t xml:space="preserve">) </w:t>
      </w:r>
      <w:r>
        <w:t>συνδέονται</w:t>
      </w:r>
      <w:r>
        <w:t xml:space="preserve"> </w:t>
      </w:r>
      <w:r>
        <w:t>άμεσα</w:t>
      </w:r>
      <w:r>
        <w:t xml:space="preserve"> </w:t>
      </w:r>
      <w:r>
        <w:t>με</w:t>
      </w:r>
      <w:r>
        <w:t xml:space="preserve"> </w:t>
      </w:r>
      <w:r>
        <w:t>δραστηριότητες</w:t>
      </w:r>
      <w:r>
        <w:t xml:space="preserve"> </w:t>
      </w:r>
      <w:r>
        <w:t>όπως</w:t>
      </w:r>
      <w:r>
        <w:t xml:space="preserve"> </w:t>
      </w:r>
      <w:r>
        <w:t>η</w:t>
      </w:r>
      <w:r>
        <w:t xml:space="preserve"> </w:t>
      </w:r>
      <w:r>
        <w:t>μεταφορά</w:t>
      </w:r>
      <w:r>
        <w:t xml:space="preserve"> </w:t>
      </w:r>
      <w:r>
        <w:t>εφημερίδων</w:t>
      </w:r>
      <w:r>
        <w:t xml:space="preserve">, </w:t>
      </w:r>
      <w:r>
        <w:t>ενώ</w:t>
      </w:r>
      <w:r>
        <w:t xml:space="preserve"> </w:t>
      </w:r>
      <w:r>
        <w:t>τα</w:t>
      </w:r>
      <w:r>
        <w:t xml:space="preserve"> </w:t>
      </w:r>
      <w:r>
        <w:t>έξοδα</w:t>
      </w:r>
      <w:r>
        <w:t xml:space="preserve"> </w:t>
      </w:r>
      <w:r>
        <w:t>ΤΠ</w:t>
      </w:r>
      <w:r>
        <w:t xml:space="preserve"> (</w:t>
      </w:r>
      <w:r>
        <w:t>π</w:t>
      </w:r>
      <w:r>
        <w:t>.</w:t>
      </w:r>
      <w:r>
        <w:t>χ</w:t>
      </w:r>
      <w:r>
        <w:t xml:space="preserve">. </w:t>
      </w:r>
      <w:r>
        <w:t>για</w:t>
      </w:r>
      <w:r>
        <w:t xml:space="preserve"> </w:t>
      </w:r>
      <w:r>
        <w:t>την</w:t>
      </w:r>
      <w:r>
        <w:t xml:space="preserve"> </w:t>
      </w:r>
      <w:r>
        <w:t>ενοικίαση</w:t>
      </w:r>
      <w:r>
        <w:t xml:space="preserve"> </w:t>
      </w:r>
      <w:r>
        <w:t>υλικού</w:t>
      </w:r>
      <w:r>
        <w:t xml:space="preserve"> </w:t>
      </w:r>
      <w:r>
        <w:t>και</w:t>
      </w:r>
      <w:r>
        <w:t xml:space="preserve"> </w:t>
      </w:r>
      <w:r>
        <w:t>λογισμικού</w:t>
      </w:r>
      <w:r>
        <w:t xml:space="preserve">) </w:t>
      </w:r>
      <w:r>
        <w:t>κατανέμονται</w:t>
      </w:r>
      <w:r>
        <w:t xml:space="preserve"> </w:t>
      </w:r>
      <w:r>
        <w:t>σε</w:t>
      </w:r>
      <w:r>
        <w:t xml:space="preserve"> </w:t>
      </w:r>
      <w:r>
        <w:t>διάφορες</w:t>
      </w:r>
      <w:r>
        <w:t xml:space="preserve"> </w:t>
      </w:r>
      <w:r>
        <w:t>δραστηριότητες</w:t>
      </w:r>
      <w:r>
        <w:t xml:space="preserve">, </w:t>
      </w:r>
      <w:r>
        <w:t>όπως</w:t>
      </w:r>
      <w:r>
        <w:t xml:space="preserve"> </w:t>
      </w:r>
      <w:r>
        <w:t>η</w:t>
      </w:r>
      <w:r>
        <w:t xml:space="preserve"> </w:t>
      </w:r>
      <w:r>
        <w:t>διαλογή</w:t>
      </w:r>
      <w:r>
        <w:t xml:space="preserve"> </w:t>
      </w:r>
      <w:r>
        <w:t>επιστολών</w:t>
      </w:r>
      <w:r>
        <w:t xml:space="preserve">, </w:t>
      </w:r>
      <w:r>
        <w:t>η</w:t>
      </w:r>
      <w:r>
        <w:t xml:space="preserve"> </w:t>
      </w:r>
      <w:r>
        <w:t>προετοιμασία</w:t>
      </w:r>
      <w:r>
        <w:t xml:space="preserve"> </w:t>
      </w:r>
      <w:r>
        <w:t>των</w:t>
      </w:r>
      <w:r>
        <w:t xml:space="preserve"> </w:t>
      </w:r>
      <w:r>
        <w:t>συνταξιοδοτικών</w:t>
      </w:r>
      <w:r>
        <w:t xml:space="preserve"> </w:t>
      </w:r>
      <w:r>
        <w:t>πληρωμών</w:t>
      </w:r>
      <w:r>
        <w:t xml:space="preserve"> </w:t>
      </w:r>
      <w:r>
        <w:t>και</w:t>
      </w:r>
      <w:r>
        <w:t xml:space="preserve"> </w:t>
      </w:r>
      <w:r>
        <w:t>η</w:t>
      </w:r>
      <w:r>
        <w:t xml:space="preserve"> </w:t>
      </w:r>
      <w:r>
        <w:t>διαχείριση</w:t>
      </w:r>
      <w:r>
        <w:t xml:space="preserve"> </w:t>
      </w:r>
      <w:r>
        <w:t>και</w:t>
      </w:r>
      <w:r>
        <w:t xml:space="preserve"> </w:t>
      </w:r>
      <w:r>
        <w:t>εποπτεία</w:t>
      </w:r>
      <w:r>
        <w:t xml:space="preserve"> </w:t>
      </w:r>
      <w:r>
        <w:t>στα</w:t>
      </w:r>
      <w:r>
        <w:t xml:space="preserve"> </w:t>
      </w:r>
      <w:r>
        <w:t>ταχυδρομεία</w:t>
      </w:r>
      <w:r>
        <w:t>.</w:t>
      </w:r>
    </w:p>
    <w:p w14:paraId="3360F7F6" w14:textId="1C881588" w:rsidR="007B1A84" w:rsidRDefault="002A0261" w:rsidP="0004755B">
      <w:pPr>
        <w:pStyle w:val="P68B1DB1-a39"/>
        <w:spacing w:after="120"/>
        <w:ind w:left="25" w:right="399"/>
        <w:jc w:val="both"/>
      </w:pPr>
      <w:r>
        <w:t>Στο</w:t>
      </w:r>
      <w:r>
        <w:t xml:space="preserve"> </w:t>
      </w:r>
      <w:r>
        <w:t>τελευταίο</w:t>
      </w:r>
      <w:r>
        <w:t xml:space="preserve"> </w:t>
      </w:r>
      <w:r>
        <w:t>στάδιο</w:t>
      </w:r>
      <w:r>
        <w:t xml:space="preserve"> </w:t>
      </w:r>
      <w:r>
        <w:t>της</w:t>
      </w:r>
      <w:r>
        <w:t xml:space="preserve"> </w:t>
      </w:r>
      <w:r>
        <w:t>διαδικασίας</w:t>
      </w:r>
      <w:r>
        <w:t xml:space="preserve">, </w:t>
      </w:r>
      <w:r>
        <w:t>το</w:t>
      </w:r>
      <w:r>
        <w:t xml:space="preserve"> </w:t>
      </w:r>
      <w:r>
        <w:t>κόστος</w:t>
      </w:r>
      <w:r>
        <w:t xml:space="preserve"> </w:t>
      </w:r>
      <w:r>
        <w:t>των</w:t>
      </w:r>
      <w:r>
        <w:t xml:space="preserve"> </w:t>
      </w:r>
      <w:r>
        <w:t>επιχειρησιακών</w:t>
      </w:r>
      <w:r>
        <w:t xml:space="preserve"> </w:t>
      </w:r>
      <w:r>
        <w:t>δραστηριοτήτων</w:t>
      </w:r>
      <w:r>
        <w:t xml:space="preserve"> </w:t>
      </w:r>
      <w:r>
        <w:t>κατανέμεται</w:t>
      </w:r>
      <w:r>
        <w:t xml:space="preserve"> </w:t>
      </w:r>
      <w:r>
        <w:lastRenderedPageBreak/>
        <w:t>τελικά</w:t>
      </w:r>
      <w:r>
        <w:t xml:space="preserve"> </w:t>
      </w:r>
      <w:r>
        <w:t>σε</w:t>
      </w:r>
      <w:r>
        <w:t xml:space="preserve"> </w:t>
      </w:r>
      <w:r>
        <w:t>κάθε</w:t>
      </w:r>
      <w:r>
        <w:t xml:space="preserve"> </w:t>
      </w:r>
      <w:r>
        <w:t>προϊόν</w:t>
      </w:r>
      <w:r>
        <w:t xml:space="preserve"> </w:t>
      </w:r>
      <w:r>
        <w:t>σύμφωνα</w:t>
      </w:r>
      <w:r>
        <w:t xml:space="preserve"> </w:t>
      </w:r>
      <w:r>
        <w:t>με</w:t>
      </w:r>
      <w:r>
        <w:t xml:space="preserve"> </w:t>
      </w:r>
      <w:r>
        <w:t>μια</w:t>
      </w:r>
      <w:r>
        <w:t xml:space="preserve"> </w:t>
      </w:r>
      <w:r>
        <w:t>κλείδα</w:t>
      </w:r>
      <w:r>
        <w:t xml:space="preserve"> </w:t>
      </w:r>
      <w:r>
        <w:t>κατανομής</w:t>
      </w:r>
      <w:r>
        <w:t xml:space="preserve">, </w:t>
      </w:r>
      <w:r>
        <w:t>η</w:t>
      </w:r>
      <w:r>
        <w:t xml:space="preserve"> </w:t>
      </w:r>
      <w:r>
        <w:t>οποία</w:t>
      </w:r>
      <w:r>
        <w:t xml:space="preserve"> </w:t>
      </w:r>
      <w:r>
        <w:t>συνήθως</w:t>
      </w:r>
      <w:r>
        <w:t xml:space="preserve"> </w:t>
      </w:r>
      <w:r>
        <w:t>βασίζεται</w:t>
      </w:r>
      <w:r>
        <w:t xml:space="preserve"> </w:t>
      </w:r>
      <w:r>
        <w:t>στον</w:t>
      </w:r>
      <w:r>
        <w:t xml:space="preserve"> </w:t>
      </w:r>
      <w:r>
        <w:t>όγκο</w:t>
      </w:r>
      <w:r>
        <w:t xml:space="preserve">. </w:t>
      </w:r>
      <w:r>
        <w:t>Όλα</w:t>
      </w:r>
      <w:r>
        <w:t xml:space="preserve"> </w:t>
      </w:r>
      <w:r>
        <w:t>τα</w:t>
      </w:r>
      <w:r>
        <w:t xml:space="preserve"> </w:t>
      </w:r>
      <w:r>
        <w:t>προϊόντα</w:t>
      </w:r>
      <w:r>
        <w:t xml:space="preserve"> </w:t>
      </w:r>
      <w:r>
        <w:t>που</w:t>
      </w:r>
      <w:r>
        <w:t xml:space="preserve"> </w:t>
      </w:r>
      <w:r>
        <w:t>στηρίζονται</w:t>
      </w:r>
      <w:r>
        <w:t xml:space="preserve"> </w:t>
      </w:r>
      <w:r>
        <w:t>σε</w:t>
      </w:r>
      <w:r>
        <w:t xml:space="preserve"> </w:t>
      </w:r>
      <w:r>
        <w:t>δραστηριότητα</w:t>
      </w:r>
      <w:r>
        <w:t xml:space="preserve"> </w:t>
      </w:r>
      <w:r>
        <w:t>φέρουν</w:t>
      </w:r>
      <w:r>
        <w:t xml:space="preserve"> </w:t>
      </w:r>
      <w:r>
        <w:t>μέρος</w:t>
      </w:r>
      <w:r>
        <w:t xml:space="preserve"> </w:t>
      </w:r>
      <w:r>
        <w:t>του</w:t>
      </w:r>
      <w:r>
        <w:t xml:space="preserve"> </w:t>
      </w:r>
      <w:r>
        <w:t>κόστους</w:t>
      </w:r>
      <w:r>
        <w:t xml:space="preserve"> </w:t>
      </w:r>
      <w:r>
        <w:t>της</w:t>
      </w:r>
      <w:r>
        <w:t xml:space="preserve"> </w:t>
      </w:r>
      <w:r>
        <w:t>δραστηριότητας</w:t>
      </w:r>
      <w:r>
        <w:t xml:space="preserve"> </w:t>
      </w:r>
      <w:r>
        <w:t>αυτής</w:t>
      </w:r>
      <w:r>
        <w:t xml:space="preserve"> </w:t>
      </w:r>
      <w:r>
        <w:t>ανάλογο</w:t>
      </w:r>
      <w:r>
        <w:t xml:space="preserve"> </w:t>
      </w:r>
      <w:r>
        <w:t>προς</w:t>
      </w:r>
      <w:r>
        <w:t xml:space="preserve"> </w:t>
      </w:r>
      <w:r>
        <w:t>τον</w:t>
      </w:r>
      <w:r>
        <w:t xml:space="preserve"> </w:t>
      </w:r>
      <w:r>
        <w:t>όγκο</w:t>
      </w:r>
      <w:r>
        <w:t xml:space="preserve"> </w:t>
      </w:r>
      <w:r>
        <w:t>της</w:t>
      </w:r>
      <w:r>
        <w:t xml:space="preserve"> </w:t>
      </w:r>
      <w:r>
        <w:t>εξάρτησής</w:t>
      </w:r>
      <w:r>
        <w:t xml:space="preserve"> </w:t>
      </w:r>
      <w:r>
        <w:t>τους</w:t>
      </w:r>
      <w:r>
        <w:t xml:space="preserve"> </w:t>
      </w:r>
      <w:r>
        <w:t>από</w:t>
      </w:r>
      <w:r>
        <w:t xml:space="preserve"> </w:t>
      </w:r>
      <w:r>
        <w:t>τη</w:t>
      </w:r>
      <w:r>
        <w:t xml:space="preserve"> </w:t>
      </w:r>
      <w:r>
        <w:t>δραστηριότητα</w:t>
      </w:r>
      <w:r>
        <w:t xml:space="preserve"> </w:t>
      </w:r>
      <w:r>
        <w:t>αυτή</w:t>
      </w:r>
      <w:r>
        <w:t>.</w:t>
      </w:r>
    </w:p>
    <w:p w14:paraId="2A156D1D" w14:textId="77777777" w:rsidR="007B1A84" w:rsidRDefault="002A0261" w:rsidP="003E0C33">
      <w:pPr>
        <w:pStyle w:val="P68B1DB1-a39"/>
        <w:spacing w:after="120"/>
        <w:ind w:left="25"/>
        <w:jc w:val="both"/>
      </w:pPr>
      <w:r>
        <w:t>Το</w:t>
      </w:r>
      <w:r>
        <w:t xml:space="preserve"> </w:t>
      </w:r>
      <w:r>
        <w:t>σχήμα</w:t>
      </w:r>
      <w:r>
        <w:t xml:space="preserve"> </w:t>
      </w:r>
      <w:r>
        <w:t>που</w:t>
      </w:r>
      <w:r>
        <w:t xml:space="preserve"> </w:t>
      </w:r>
      <w:r>
        <w:t>ακολουθεί</w:t>
      </w:r>
      <w:r>
        <w:t xml:space="preserve"> </w:t>
      </w:r>
      <w:r>
        <w:t>απεικονίζει</w:t>
      </w:r>
      <w:r>
        <w:t xml:space="preserve"> </w:t>
      </w:r>
      <w:r>
        <w:t>τη</w:t>
      </w:r>
      <w:r>
        <w:t xml:space="preserve"> </w:t>
      </w:r>
      <w:r>
        <w:t>λογιστική</w:t>
      </w:r>
      <w:r>
        <w:t xml:space="preserve"> </w:t>
      </w:r>
      <w:r>
        <w:t>μεθοδολογία</w:t>
      </w:r>
      <w:r>
        <w:t xml:space="preserve"> </w:t>
      </w:r>
      <w:r>
        <w:t>που</w:t>
      </w:r>
      <w:r>
        <w:t xml:space="preserve"> </w:t>
      </w:r>
      <w:r>
        <w:t>εφαρμόζει</w:t>
      </w:r>
      <w:r>
        <w:t xml:space="preserve"> </w:t>
      </w:r>
      <w:r>
        <w:t>η</w:t>
      </w:r>
      <w:r>
        <w:t xml:space="preserve"> bpost.</w:t>
      </w:r>
    </w:p>
    <w:p w14:paraId="1307B5B9" w14:textId="77777777" w:rsidR="007B1A84" w:rsidRDefault="002A0261" w:rsidP="003E0C33">
      <w:pPr>
        <w:pStyle w:val="P68B1DB1-a343"/>
        <w:spacing w:after="120"/>
      </w:pPr>
      <w:r>
        <w:rPr>
          <w:noProof/>
        </w:rPr>
        <w:drawing>
          <wp:anchor distT="0" distB="0" distL="0" distR="0" simplePos="0" relativeHeight="487607296" behindDoc="1" locked="0" layoutInCell="1" allowOverlap="1" wp14:anchorId="2E6166E5" wp14:editId="69B52F5D">
            <wp:simplePos x="0" y="0"/>
            <wp:positionH relativeFrom="page">
              <wp:posOffset>914400</wp:posOffset>
            </wp:positionH>
            <wp:positionV relativeFrom="paragraph">
              <wp:posOffset>143972</wp:posOffset>
            </wp:positionV>
            <wp:extent cx="5785569" cy="3925252"/>
            <wp:effectExtent l="0" t="0" r="0" b="0"/>
            <wp:wrapTopAndBottom/>
            <wp:docPr id="48" name="Εικόνα 48" descr="Graphical user interface, applicati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Εικόνα 48" descr="Graphical user interface, application  Description automatically generated"/>
                    <pic:cNvPicPr/>
                  </pic:nvPicPr>
                  <pic:blipFill>
                    <a:blip r:embed="rId24" cstate="print"/>
                    <a:stretch>
                      <a:fillRect/>
                    </a:stretch>
                  </pic:blipFill>
                  <pic:spPr>
                    <a:xfrm>
                      <a:off x="0" y="0"/>
                      <a:ext cx="5785569" cy="3925252"/>
                    </a:xfrm>
                    <a:prstGeom prst="rect">
                      <a:avLst/>
                    </a:prstGeom>
                  </pic:spPr>
                </pic:pic>
              </a:graphicData>
            </a:graphic>
          </wp:anchor>
        </w:drawing>
      </w:r>
    </w:p>
    <w:p w14:paraId="29D338EC" w14:textId="4D9176A3" w:rsidR="007B1A84" w:rsidRDefault="002A0261" w:rsidP="0004755B">
      <w:pPr>
        <w:pStyle w:val="P68B1DB1-a57"/>
        <w:numPr>
          <w:ilvl w:val="0"/>
          <w:numId w:val="2"/>
        </w:numPr>
        <w:tabs>
          <w:tab w:val="left" w:pos="264"/>
        </w:tabs>
        <w:spacing w:before="240" w:after="120"/>
        <w:ind w:left="23" w:right="442" w:firstLine="0"/>
      </w:pPr>
      <w:r>
        <w:rPr>
          <w:b/>
        </w:rPr>
        <w:t>Κρατικές</w:t>
      </w:r>
      <w:r>
        <w:rPr>
          <w:b/>
        </w:rPr>
        <w:t xml:space="preserve"> </w:t>
      </w:r>
      <w:r>
        <w:rPr>
          <w:b/>
        </w:rPr>
        <w:t>αντισταθμίσεις</w:t>
      </w:r>
      <w:r>
        <w:rPr>
          <w:b/>
        </w:rPr>
        <w:t xml:space="preserve"> </w:t>
      </w:r>
      <w:r>
        <w:rPr>
          <w:b/>
        </w:rPr>
        <w:t>που</w:t>
      </w:r>
      <w:r>
        <w:rPr>
          <w:b/>
        </w:rPr>
        <w:t xml:space="preserve"> </w:t>
      </w:r>
      <w:r>
        <w:rPr>
          <w:b/>
        </w:rPr>
        <w:t>χορηγήθηκαν</w:t>
      </w:r>
      <w:r>
        <w:rPr>
          <w:b/>
        </w:rPr>
        <w:t xml:space="preserve"> </w:t>
      </w:r>
      <w:r>
        <w:rPr>
          <w:b/>
        </w:rPr>
        <w:t>στην</w:t>
      </w:r>
      <w:r>
        <w:rPr>
          <w:b/>
        </w:rPr>
        <w:t xml:space="preserve"> Poste Italiane SpA </w:t>
      </w:r>
      <w:r>
        <w:rPr>
          <w:b/>
        </w:rPr>
        <w:t>για</w:t>
      </w:r>
      <w:r>
        <w:rPr>
          <w:b/>
        </w:rPr>
        <w:t xml:space="preserve"> </w:t>
      </w:r>
      <w:r>
        <w:rPr>
          <w:b/>
        </w:rPr>
        <w:t>την</w:t>
      </w:r>
      <w:r>
        <w:rPr>
          <w:b/>
        </w:rPr>
        <w:t xml:space="preserve"> </w:t>
      </w:r>
      <w:r>
        <w:rPr>
          <w:b/>
        </w:rPr>
        <w:t>παροχή</w:t>
      </w:r>
      <w:r>
        <w:rPr>
          <w:b/>
        </w:rPr>
        <w:t xml:space="preserve"> </w:t>
      </w:r>
      <w:r>
        <w:rPr>
          <w:b/>
        </w:rPr>
        <w:t>της</w:t>
      </w:r>
      <w:r>
        <w:rPr>
          <w:b/>
        </w:rPr>
        <w:t xml:space="preserve"> </w:t>
      </w:r>
      <w:r>
        <w:rPr>
          <w:b/>
        </w:rPr>
        <w:t>καθολικής</w:t>
      </w:r>
      <w:r>
        <w:rPr>
          <w:b/>
        </w:rPr>
        <w:t xml:space="preserve"> </w:t>
      </w:r>
      <w:r>
        <w:rPr>
          <w:b/>
        </w:rPr>
        <w:t>ταχυδρομικής</w:t>
      </w:r>
      <w:r>
        <w:rPr>
          <w:b/>
        </w:rPr>
        <w:t xml:space="preserve"> </w:t>
      </w:r>
      <w:r>
        <w:rPr>
          <w:b/>
        </w:rPr>
        <w:t>υπηρεσίας</w:t>
      </w:r>
      <w:r>
        <w:rPr>
          <w:b/>
        </w:rPr>
        <w:t xml:space="preserve"> (</w:t>
      </w:r>
      <w:r>
        <w:rPr>
          <w:b/>
        </w:rPr>
        <w:t>Ιταλία</w:t>
      </w:r>
      <w:r>
        <w:rPr>
          <w:b/>
        </w:rPr>
        <w:t xml:space="preserve">) </w:t>
      </w:r>
      <w:hyperlink r:id="rId25">
        <w:r>
          <w:rPr>
            <w:color w:val="002E67"/>
            <w:u w:val="single" w:color="002E67"/>
          </w:rPr>
          <w:t>SA.2235</w:t>
        </w:r>
      </w:hyperlink>
      <w:r>
        <w:rPr>
          <w:color w:val="002E67"/>
          <w:u w:val="single" w:color="002E67"/>
        </w:rPr>
        <w:t>6</w:t>
      </w:r>
      <w:r>
        <w:rPr>
          <w:color w:val="002E67"/>
        </w:rPr>
        <w:t xml:space="preserve"> </w:t>
      </w:r>
      <w:hyperlink r:id="rId26">
        <w:r>
          <w:t>·</w:t>
        </w:r>
        <w:r>
          <w:t xml:space="preserve"> </w:t>
        </w:r>
        <w:r>
          <w:rPr>
            <w:color w:val="002E67"/>
            <w:u w:val="single" w:color="002E67"/>
          </w:rPr>
          <w:t>SA.3398</w:t>
        </w:r>
      </w:hyperlink>
      <w:r>
        <w:rPr>
          <w:color w:val="002E67"/>
          <w:u w:val="single" w:color="002E67"/>
        </w:rPr>
        <w:t>9</w:t>
      </w:r>
      <w:r>
        <w:rPr>
          <w:color w:val="002E67"/>
        </w:rPr>
        <w:t xml:space="preserve"> </w:t>
      </w:r>
      <w:hyperlink r:id="rId27">
        <w:r>
          <w:t>·</w:t>
        </w:r>
        <w:r>
          <w:t xml:space="preserve"> </w:t>
        </w:r>
        <w:r>
          <w:rPr>
            <w:color w:val="002E67"/>
            <w:u w:val="single" w:color="002E67"/>
          </w:rPr>
          <w:t>SA.432</w:t>
        </w:r>
      </w:hyperlink>
      <w:r>
        <w:rPr>
          <w:color w:val="002E67"/>
          <w:u w:val="single" w:color="002E67"/>
        </w:rPr>
        <w:t>4</w:t>
      </w:r>
      <w:hyperlink r:id="rId28">
        <w:r>
          <w:rPr>
            <w:color w:val="002E67"/>
            <w:u w:val="single" w:color="002E67"/>
          </w:rPr>
          <w:t>3</w:t>
        </w:r>
        <w:r>
          <w:rPr>
            <w:color w:val="002E67"/>
          </w:rPr>
          <w:t xml:space="preserve"> </w:t>
        </w:r>
        <w:r>
          <w:t>·</w:t>
        </w:r>
        <w:r>
          <w:t xml:space="preserve"> </w:t>
        </w:r>
        <w:r>
          <w:rPr>
            <w:color w:val="002E67"/>
            <w:u w:val="single" w:color="002E67"/>
          </w:rPr>
          <w:t>SA.552</w:t>
        </w:r>
      </w:hyperlink>
      <w:r>
        <w:rPr>
          <w:color w:val="002E67"/>
          <w:u w:val="single" w:color="002E67"/>
        </w:rPr>
        <w:t>70</w:t>
      </w:r>
    </w:p>
    <w:p w14:paraId="273B90D9" w14:textId="77777777" w:rsidR="007B1A84" w:rsidRDefault="002A0261" w:rsidP="003E0C33">
      <w:pPr>
        <w:pStyle w:val="P68B1DB1-a39"/>
        <w:spacing w:after="120"/>
        <w:ind w:left="25" w:right="407"/>
        <w:jc w:val="both"/>
      </w:pPr>
      <w:r>
        <w:t>Η</w:t>
      </w:r>
      <w:r>
        <w:t xml:space="preserve"> Poste Italiane (PI) </w:t>
      </w:r>
      <w:r>
        <w:t>έχει</w:t>
      </w:r>
      <w:r>
        <w:t xml:space="preserve"> </w:t>
      </w:r>
      <w:r>
        <w:t>υιοθετήσει</w:t>
      </w:r>
      <w:r>
        <w:t xml:space="preserve"> </w:t>
      </w:r>
      <w:r>
        <w:t>ένα</w:t>
      </w:r>
      <w:r>
        <w:t xml:space="preserve"> </w:t>
      </w:r>
      <w:r>
        <w:t>λογιστικό</w:t>
      </w:r>
      <w:r>
        <w:t xml:space="preserve"> </w:t>
      </w:r>
      <w:r>
        <w:t>σύστημα</w:t>
      </w:r>
      <w:r>
        <w:t xml:space="preserve"> </w:t>
      </w:r>
      <w:r>
        <w:t>που</w:t>
      </w:r>
      <w:r>
        <w:t xml:space="preserve"> </w:t>
      </w:r>
      <w:r>
        <w:t>βασίζεται</w:t>
      </w:r>
      <w:r>
        <w:t xml:space="preserve"> </w:t>
      </w:r>
      <w:r>
        <w:t>στη</w:t>
      </w:r>
      <w:r>
        <w:t xml:space="preserve"> </w:t>
      </w:r>
      <w:r>
        <w:t>μεθοδολογία</w:t>
      </w:r>
      <w:r>
        <w:t xml:space="preserve"> </w:t>
      </w:r>
      <w:r>
        <w:t>κοστολόγησης</w:t>
      </w:r>
      <w:r>
        <w:t xml:space="preserve"> </w:t>
      </w:r>
      <w:r>
        <w:t>που</w:t>
      </w:r>
      <w:r>
        <w:t xml:space="preserve"> </w:t>
      </w:r>
      <w:r>
        <w:t>ονομάζεται</w:t>
      </w:r>
      <w:r>
        <w:t xml:space="preserve"> </w:t>
      </w:r>
      <w:r>
        <w:t>κοστολόγηση</w:t>
      </w:r>
      <w:r>
        <w:t xml:space="preserve"> </w:t>
      </w:r>
      <w:r>
        <w:t>βάσει</w:t>
      </w:r>
      <w:r>
        <w:t xml:space="preserve"> </w:t>
      </w:r>
      <w:r>
        <w:t>δραστηριότητας</w:t>
      </w:r>
      <w:r>
        <w:t xml:space="preserve">. </w:t>
      </w:r>
      <w:r>
        <w:t>Το</w:t>
      </w:r>
      <w:r>
        <w:t xml:space="preserve"> </w:t>
      </w:r>
      <w:r>
        <w:t>σύστημα</w:t>
      </w:r>
      <w:r>
        <w:t xml:space="preserve"> </w:t>
      </w:r>
      <w:r>
        <w:t>κοστολόγησης</w:t>
      </w:r>
      <w:r>
        <w:t xml:space="preserve"> </w:t>
      </w:r>
      <w:r>
        <w:t>βάσει</w:t>
      </w:r>
      <w:r>
        <w:t xml:space="preserve"> </w:t>
      </w:r>
      <w:r>
        <w:t>δραστηριοτήτων</w:t>
      </w:r>
      <w:r>
        <w:t xml:space="preserve"> (</w:t>
      </w:r>
      <w:r>
        <w:t>«σύστημα</w:t>
      </w:r>
      <w:r>
        <w:t xml:space="preserve"> ABC</w:t>
      </w:r>
      <w:r>
        <w:t>»</w:t>
      </w:r>
      <w:r>
        <w:t xml:space="preserve">), </w:t>
      </w:r>
      <w:r>
        <w:t>το</w:t>
      </w:r>
      <w:r>
        <w:t xml:space="preserve"> </w:t>
      </w:r>
      <w:r>
        <w:t>οποίο</w:t>
      </w:r>
      <w:r>
        <w:t xml:space="preserve"> </w:t>
      </w:r>
      <w:r>
        <w:t>αποτελεί</w:t>
      </w:r>
      <w:r>
        <w:t xml:space="preserve"> </w:t>
      </w:r>
      <w:r>
        <w:t>ειδική</w:t>
      </w:r>
      <w:r>
        <w:t xml:space="preserve"> </w:t>
      </w:r>
      <w:r>
        <w:t>μέθοδο</w:t>
      </w:r>
      <w:r>
        <w:t xml:space="preserve"> </w:t>
      </w:r>
      <w:r>
        <w:t>της</w:t>
      </w:r>
      <w:r>
        <w:t xml:space="preserve"> </w:t>
      </w:r>
      <w:r>
        <w:t>πλήρως</w:t>
      </w:r>
      <w:r>
        <w:t xml:space="preserve"> </w:t>
      </w:r>
      <w:r>
        <w:t>κατανεμημένης</w:t>
      </w:r>
      <w:r>
        <w:t xml:space="preserve"> </w:t>
      </w:r>
      <w:r>
        <w:t>μεθόδου</w:t>
      </w:r>
      <w:r>
        <w:t xml:space="preserve"> </w:t>
      </w:r>
      <w:r>
        <w:t>επιμερισμού</w:t>
      </w:r>
      <w:r>
        <w:t xml:space="preserve"> </w:t>
      </w:r>
      <w:r>
        <w:t>του</w:t>
      </w:r>
      <w:r>
        <w:t xml:space="preserve"> </w:t>
      </w:r>
      <w:r>
        <w:t>κόστους</w:t>
      </w:r>
      <w:r>
        <w:t>.</w:t>
      </w:r>
    </w:p>
    <w:p w14:paraId="3330A9E0" w14:textId="77777777" w:rsidR="007B1A84" w:rsidRDefault="002A0261" w:rsidP="003E0C33">
      <w:pPr>
        <w:pStyle w:val="P68B1DB1-a25"/>
        <w:spacing w:after="120"/>
        <w:ind w:left="25"/>
        <w:jc w:val="both"/>
      </w:pPr>
      <w:r>
        <w:t>Η αναλυτική λογιστική της PI διαιρεί το κόστος σε:</w:t>
      </w:r>
    </w:p>
    <w:p w14:paraId="6CF1D66E" w14:textId="77777777" w:rsidR="007B1A84" w:rsidRDefault="002A0261" w:rsidP="003E0C33">
      <w:pPr>
        <w:pStyle w:val="P68B1DB1-a540"/>
        <w:numPr>
          <w:ilvl w:val="1"/>
          <w:numId w:val="2"/>
        </w:numPr>
        <w:tabs>
          <w:tab w:val="left" w:pos="744"/>
          <w:tab w:val="left" w:pos="746"/>
        </w:tabs>
        <w:spacing w:after="120"/>
        <w:ind w:right="426"/>
      </w:pPr>
      <w:r>
        <w:t>Άμεσες δαπάνες: πρόκειται για το κόστος που σχετίζεται με τα συστατικά που χρησιμοποιούνται ειδικά για την απόκτηση ενός συγκεκριμένου προϊόντος ή υπηρεσίας. Είναι εξ ολοκλήρου «κατευθυνόμενες» προς τα εν λόγω προϊόντα μέσω λεπτομερούς ανάλυσης του Γενικού Λογιστικού Σχεδίου Εγγραφών. Το 2019 αντιπροσώπευαν [παραλειπόμενα] % του συνολικού κόστους των PI.</w:t>
      </w:r>
    </w:p>
    <w:p w14:paraId="14BC34EC" w14:textId="77777777" w:rsidR="007B1A84" w:rsidRDefault="002A0261" w:rsidP="003E0C33">
      <w:pPr>
        <w:pStyle w:val="P68B1DB1-a540"/>
        <w:numPr>
          <w:ilvl w:val="1"/>
          <w:numId w:val="2"/>
        </w:numPr>
        <w:tabs>
          <w:tab w:val="left" w:pos="744"/>
          <w:tab w:val="left" w:pos="746"/>
        </w:tabs>
        <w:spacing w:after="120"/>
        <w:ind w:right="422"/>
      </w:pPr>
      <w:r>
        <w:t>Άμεσο κόστος παραγωγής: είναι το κόστος των διαιρετικών δομών παραγωγής των οποίων η δραστηριότητα συμβάλλει στην παροχή προϊόντων ή υπηρεσιών. Το 2019 αντιπροσώπευαν [παραλειπόμενα] % του συνολικού κόστους των PI.</w:t>
      </w:r>
    </w:p>
    <w:p w14:paraId="1346F80F" w14:textId="77777777" w:rsidR="007B1A84" w:rsidRPr="007007EE" w:rsidRDefault="002A0261" w:rsidP="003E0C33">
      <w:pPr>
        <w:pStyle w:val="P68B1DB1-a540"/>
        <w:numPr>
          <w:ilvl w:val="1"/>
          <w:numId w:val="2"/>
        </w:numPr>
        <w:tabs>
          <w:tab w:val="left" w:pos="744"/>
          <w:tab w:val="left" w:pos="746"/>
        </w:tabs>
        <w:spacing w:after="120"/>
        <w:ind w:right="403"/>
      </w:pPr>
      <w:r>
        <w:t>Έμμεσο κόστος παραγωγής: πρόκειται για το κόστος των μη επιχειρησιακών διαρθρώσεων διαίρεσης, όπως οι γενικές δομές διαίρεσης και εδαφικής περιοχής, οι οποίες έχουν ως αποστολή την ανάπτυξη στρατηγικών παραγωγής για τη θέση και την οικονομική δραστηριότητα και την πλήρη εφαρμογή τους. Το 2019 αντιπροσώπευαν [παραλειπόμενα] % του συνολικού κόστους των PI.</w:t>
      </w:r>
    </w:p>
    <w:p w14:paraId="3B51AA1E" w14:textId="77777777" w:rsidR="007B1A84" w:rsidRDefault="002A0261" w:rsidP="003E0C33">
      <w:pPr>
        <w:pStyle w:val="P68B1DB1-a540"/>
        <w:numPr>
          <w:ilvl w:val="1"/>
          <w:numId w:val="2"/>
        </w:numPr>
        <w:tabs>
          <w:tab w:val="left" w:pos="744"/>
          <w:tab w:val="left" w:pos="746"/>
        </w:tabs>
        <w:spacing w:after="120"/>
        <w:ind w:right="433"/>
      </w:pPr>
      <w:r>
        <w:t xml:space="preserve">Κεντρικές δαπάνες: αποτελούν την κεντρική υποστήριξη, τον προσανατολισμό και τον έλεγχο των δαπανών δραστηριότητας που πραγματοποιούνται με σκοπό τη διασφάλιση της επιχειρησιακής συνέπειας των δραστηριοτήτων που διεξάγονται από τα τμήματα με τις </w:t>
      </w:r>
      <w:r>
        <w:lastRenderedPageBreak/>
        <w:t>κεντρικές πολιτικές και στρατηγικές. Το 2019 αντιπροσώπευαν [παραλειπόμενα] % του συνολικού κόστους των PI.</w:t>
      </w:r>
    </w:p>
    <w:p w14:paraId="46F81D5C" w14:textId="77777777" w:rsidR="007B1A84" w:rsidRDefault="002A0261" w:rsidP="003E0C33">
      <w:pPr>
        <w:pStyle w:val="P68B1DB1-a540"/>
        <w:numPr>
          <w:ilvl w:val="1"/>
          <w:numId w:val="2"/>
        </w:numPr>
        <w:tabs>
          <w:tab w:val="left" w:pos="744"/>
          <w:tab w:val="left" w:pos="746"/>
        </w:tabs>
        <w:spacing w:after="120"/>
        <w:ind w:right="436"/>
      </w:pPr>
      <w:r>
        <w:t>Μη λειτουργικές δαπάνες: περιλαμβάνει το κόστος χρηματοδότησης/έσοδα, ζημία απομείωσης/(αντιστροφή) για χρηματοπιστωτικά μέσα, φόρο εισοδήματος για το έτος. Το 2019 αντιπροσώπευαν [παραλειπόμενα] % του συνολικού κόστους των PI.</w:t>
      </w:r>
    </w:p>
    <w:p w14:paraId="378B31CE" w14:textId="58E14B72" w:rsidR="007B1A84" w:rsidRDefault="002A0261" w:rsidP="003E0C33">
      <w:pPr>
        <w:pStyle w:val="P68B1DB1-a39"/>
        <w:spacing w:after="120"/>
        <w:ind w:left="25" w:right="416"/>
        <w:jc w:val="both"/>
      </w:pPr>
      <w:r>
        <w:t>Η</w:t>
      </w:r>
      <w:r>
        <w:t xml:space="preserve"> </w:t>
      </w:r>
      <w:r>
        <w:t>πιο</w:t>
      </w:r>
      <w:r>
        <w:t xml:space="preserve"> </w:t>
      </w:r>
      <w:r>
        <w:t>λεπτομερής</w:t>
      </w:r>
      <w:r>
        <w:t xml:space="preserve"> </w:t>
      </w:r>
      <w:r>
        <w:t>εξήγηση</w:t>
      </w:r>
      <w:r>
        <w:t xml:space="preserve"> </w:t>
      </w:r>
      <w:r>
        <w:t>της</w:t>
      </w:r>
      <w:r>
        <w:t xml:space="preserve"> </w:t>
      </w:r>
      <w:r>
        <w:t>εφαρμοζόμενης</w:t>
      </w:r>
      <w:r>
        <w:t xml:space="preserve"> </w:t>
      </w:r>
      <w:r>
        <w:t>λογιστικής</w:t>
      </w:r>
      <w:r>
        <w:t xml:space="preserve"> </w:t>
      </w:r>
      <w:r>
        <w:t>μεθοδολογίας</w:t>
      </w:r>
      <w:r>
        <w:t xml:space="preserve"> </w:t>
      </w:r>
      <w:r>
        <w:t>περιλαμβάνεται</w:t>
      </w:r>
      <w:r>
        <w:t xml:space="preserve"> </w:t>
      </w:r>
      <w:r>
        <w:t>στην</w:t>
      </w:r>
      <w:r>
        <w:t xml:space="preserve"> </w:t>
      </w:r>
      <w:r>
        <w:t>απόφαση</w:t>
      </w:r>
      <w:r>
        <w:t xml:space="preserve"> </w:t>
      </w:r>
      <w:r>
        <w:t>της</w:t>
      </w:r>
      <w:r>
        <w:t xml:space="preserve"> </w:t>
      </w:r>
      <w:r>
        <w:t>ΕΚ</w:t>
      </w:r>
      <w:r>
        <w:t xml:space="preserve"> </w:t>
      </w:r>
      <w:r>
        <w:t>στην</w:t>
      </w:r>
      <w:r>
        <w:t xml:space="preserve"> </w:t>
      </w:r>
      <w:r>
        <w:t>υπόθεση</w:t>
      </w:r>
      <w:r>
        <w:t xml:space="preserve"> </w:t>
      </w:r>
      <w:r>
        <w:t>κρατικής</w:t>
      </w:r>
      <w:r>
        <w:t xml:space="preserve"> </w:t>
      </w:r>
      <w:r>
        <w:t>ενίσχυσης</w:t>
      </w:r>
      <w:r>
        <w:t xml:space="preserve"> </w:t>
      </w:r>
      <w:hyperlink r:id="rId29">
        <w:r>
          <w:rPr>
            <w:color w:val="002E67"/>
            <w:u w:val="single" w:color="002E67"/>
          </w:rPr>
          <w:t>SA.2235</w:t>
        </w:r>
      </w:hyperlink>
      <w:r>
        <w:rPr>
          <w:color w:val="002E67"/>
          <w:u w:val="single" w:color="002E67"/>
        </w:rPr>
        <w:t>6</w:t>
      </w:r>
      <w:r>
        <w:rPr>
          <w:color w:val="002E67"/>
        </w:rPr>
        <w:t xml:space="preserve"> </w:t>
      </w:r>
      <w:r>
        <w:t>(</w:t>
      </w:r>
      <w:r>
        <w:t>ήταν</w:t>
      </w:r>
      <w:r>
        <w:t xml:space="preserve">, </w:t>
      </w:r>
      <w:r>
        <w:t>όταν</w:t>
      </w:r>
      <w:r>
        <w:t xml:space="preserve"> </w:t>
      </w:r>
      <w:r>
        <w:t>η</w:t>
      </w:r>
      <w:r>
        <w:t xml:space="preserve"> </w:t>
      </w:r>
      <w:r>
        <w:t>Επιτροπή</w:t>
      </w:r>
      <w:r>
        <w:t xml:space="preserve"> </w:t>
      </w:r>
      <w:r>
        <w:t>την</w:t>
      </w:r>
      <w:r>
        <w:t xml:space="preserve"> </w:t>
      </w:r>
      <w:r>
        <w:t>αξιολόγησε</w:t>
      </w:r>
      <w:r>
        <w:t xml:space="preserve"> </w:t>
      </w:r>
      <w:r>
        <w:t>για</w:t>
      </w:r>
      <w:r>
        <w:t xml:space="preserve"> </w:t>
      </w:r>
      <w:r>
        <w:t>πρώτη</w:t>
      </w:r>
      <w:r>
        <w:t xml:space="preserve"> </w:t>
      </w:r>
      <w:r>
        <w:t>φορά</w:t>
      </w:r>
      <w:r>
        <w:t xml:space="preserve"> </w:t>
      </w:r>
      <w:r>
        <w:t>το</w:t>
      </w:r>
      <w:r>
        <w:t xml:space="preserve"> 2008).</w:t>
      </w:r>
    </w:p>
    <w:p w14:paraId="72028E70" w14:textId="77777777" w:rsidR="007B1A84" w:rsidRDefault="002A0261" w:rsidP="003E0C33">
      <w:pPr>
        <w:pStyle w:val="P68B1DB1-a39"/>
        <w:spacing w:after="120"/>
        <w:ind w:left="25"/>
        <w:jc w:val="both"/>
      </w:pPr>
      <w:r>
        <w:t>Το</w:t>
      </w:r>
      <w:r>
        <w:t xml:space="preserve"> </w:t>
      </w:r>
      <w:r>
        <w:t>σχήμα</w:t>
      </w:r>
      <w:r>
        <w:t xml:space="preserve"> </w:t>
      </w:r>
      <w:r>
        <w:t>που</w:t>
      </w:r>
      <w:r>
        <w:t xml:space="preserve"> </w:t>
      </w:r>
      <w:r>
        <w:t>ακολουθεί</w:t>
      </w:r>
      <w:r>
        <w:t xml:space="preserve"> </w:t>
      </w:r>
      <w:r>
        <w:t>απεικονίζει</w:t>
      </w:r>
      <w:r>
        <w:t xml:space="preserve"> </w:t>
      </w:r>
      <w:r>
        <w:t>τη</w:t>
      </w:r>
      <w:r>
        <w:t xml:space="preserve"> </w:t>
      </w:r>
      <w:r>
        <w:t>λογιστική</w:t>
      </w:r>
      <w:r>
        <w:t xml:space="preserve"> </w:t>
      </w:r>
      <w:r>
        <w:t>μεθοδολογία</w:t>
      </w:r>
      <w:r>
        <w:t xml:space="preserve"> </w:t>
      </w:r>
      <w:r>
        <w:t>που</w:t>
      </w:r>
      <w:r>
        <w:t xml:space="preserve"> </w:t>
      </w:r>
      <w:r>
        <w:t>εφάρμοσαν</w:t>
      </w:r>
      <w:r>
        <w:t xml:space="preserve"> </w:t>
      </w:r>
      <w:r>
        <w:t>τα</w:t>
      </w:r>
      <w:r>
        <w:t xml:space="preserve"> PI.</w:t>
      </w:r>
    </w:p>
    <w:p w14:paraId="671F6063" w14:textId="77777777" w:rsidR="007B1A84" w:rsidRDefault="002A0261" w:rsidP="003E0C33">
      <w:pPr>
        <w:pStyle w:val="P68B1DB1-a343"/>
        <w:spacing w:after="120"/>
      </w:pPr>
      <w:r>
        <w:rPr>
          <w:noProof/>
        </w:rPr>
        <w:drawing>
          <wp:anchor distT="0" distB="0" distL="0" distR="0" simplePos="0" relativeHeight="487607808" behindDoc="1" locked="0" layoutInCell="1" allowOverlap="1" wp14:anchorId="66E6EA42" wp14:editId="2B65CDA9">
            <wp:simplePos x="0" y="0"/>
            <wp:positionH relativeFrom="page">
              <wp:posOffset>914400</wp:posOffset>
            </wp:positionH>
            <wp:positionV relativeFrom="paragraph">
              <wp:posOffset>144145</wp:posOffset>
            </wp:positionV>
            <wp:extent cx="5708650" cy="3455670"/>
            <wp:effectExtent l="0" t="0" r="6350" b="0"/>
            <wp:wrapTopAndBottom/>
            <wp:docPr id="49" name="Εικόνα 49" descr="Graphical user interface, applicati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Εικόνα 49" descr="Graphical user interface, application  Description automatically generated"/>
                    <pic:cNvPicPr/>
                  </pic:nvPicPr>
                  <pic:blipFill>
                    <a:blip r:embed="rId30" cstate="print"/>
                    <a:stretch>
                      <a:fillRect/>
                    </a:stretch>
                  </pic:blipFill>
                  <pic:spPr>
                    <a:xfrm>
                      <a:off x="0" y="0"/>
                      <a:ext cx="5708650" cy="3455670"/>
                    </a:xfrm>
                    <a:prstGeom prst="rect">
                      <a:avLst/>
                    </a:prstGeom>
                  </pic:spPr>
                </pic:pic>
              </a:graphicData>
            </a:graphic>
            <wp14:sizeRelH relativeFrom="margin">
              <wp14:pctWidth>0</wp14:pctWidth>
            </wp14:sizeRelH>
          </wp:anchor>
        </w:drawing>
      </w:r>
    </w:p>
    <w:p w14:paraId="39C19FFD" w14:textId="35F744F5" w:rsidR="007B1A84" w:rsidRDefault="002A0261" w:rsidP="007007EE">
      <w:pPr>
        <w:pStyle w:val="P68B1DB1-a57"/>
        <w:numPr>
          <w:ilvl w:val="0"/>
          <w:numId w:val="2"/>
        </w:numPr>
        <w:tabs>
          <w:tab w:val="left" w:pos="264"/>
        </w:tabs>
        <w:spacing w:before="240" w:after="120"/>
        <w:ind w:left="261" w:hanging="238"/>
      </w:pPr>
      <w:r>
        <w:rPr>
          <w:b/>
        </w:rPr>
        <w:t>Αποζημίωση</w:t>
      </w:r>
      <w:r>
        <w:rPr>
          <w:b/>
        </w:rPr>
        <w:t xml:space="preserve"> </w:t>
      </w:r>
      <w:r>
        <w:rPr>
          <w:b/>
        </w:rPr>
        <w:t>ΥΠΚΥ</w:t>
      </w:r>
      <w:r>
        <w:rPr>
          <w:b/>
        </w:rPr>
        <w:t xml:space="preserve"> </w:t>
      </w:r>
      <w:r>
        <w:rPr>
          <w:b/>
        </w:rPr>
        <w:t>υπέρ</w:t>
      </w:r>
      <w:r>
        <w:rPr>
          <w:b/>
        </w:rPr>
        <w:t xml:space="preserve"> </w:t>
      </w:r>
      <w:r>
        <w:rPr>
          <w:b/>
        </w:rPr>
        <w:t>της</w:t>
      </w:r>
      <w:r>
        <w:rPr>
          <w:b/>
        </w:rPr>
        <w:t xml:space="preserve"> Correos (</w:t>
      </w:r>
      <w:r>
        <w:rPr>
          <w:b/>
        </w:rPr>
        <w:t>Ισπανία</w:t>
      </w:r>
      <w:hyperlink r:id="rId31">
        <w:r>
          <w:rPr>
            <w:b/>
          </w:rPr>
          <w:t xml:space="preserve">) </w:t>
        </w:r>
        <w:r>
          <w:rPr>
            <w:color w:val="002E67"/>
            <w:u w:val="single" w:color="002E67"/>
          </w:rPr>
          <w:t>SA.379</w:t>
        </w:r>
      </w:hyperlink>
      <w:r>
        <w:rPr>
          <w:color w:val="002E67"/>
          <w:u w:val="single" w:color="002E67"/>
        </w:rPr>
        <w:t>7</w:t>
      </w:r>
      <w:hyperlink r:id="rId32">
        <w:r>
          <w:rPr>
            <w:color w:val="002E67"/>
            <w:u w:val="single" w:color="002E67"/>
          </w:rPr>
          <w:t>7</w:t>
        </w:r>
        <w:r>
          <w:t xml:space="preserve">, </w:t>
        </w:r>
        <w:r>
          <w:rPr>
            <w:color w:val="002E67"/>
            <w:u w:val="single" w:color="002E67"/>
          </w:rPr>
          <w:t>SA.508</w:t>
        </w:r>
      </w:hyperlink>
      <w:r>
        <w:rPr>
          <w:color w:val="002E67"/>
          <w:u w:val="single" w:color="002E67"/>
        </w:rPr>
        <w:t>72</w:t>
      </w:r>
    </w:p>
    <w:p w14:paraId="54238793" w14:textId="77777777" w:rsidR="007B1A84" w:rsidRDefault="002A0261" w:rsidP="003E0C33">
      <w:pPr>
        <w:pStyle w:val="P68B1DB1-a39"/>
        <w:spacing w:after="120"/>
        <w:ind w:left="25" w:right="409"/>
        <w:jc w:val="both"/>
      </w:pPr>
      <w:r>
        <w:t>Το</w:t>
      </w:r>
      <w:r>
        <w:t xml:space="preserve"> </w:t>
      </w:r>
      <w:r>
        <w:t>σύστημα</w:t>
      </w:r>
      <w:r>
        <w:t xml:space="preserve"> </w:t>
      </w:r>
      <w:r>
        <w:t>κοστολόγησης</w:t>
      </w:r>
      <w:r>
        <w:t xml:space="preserve"> Correos (</w:t>
      </w:r>
      <w:r>
        <w:t>ισπανικά</w:t>
      </w:r>
      <w:r>
        <w:t xml:space="preserve"> post) </w:t>
      </w:r>
      <w:r>
        <w:t>βασίζεται</w:t>
      </w:r>
      <w:r>
        <w:t xml:space="preserve"> </w:t>
      </w:r>
      <w:r>
        <w:t>στη</w:t>
      </w:r>
      <w:r>
        <w:t xml:space="preserve"> </w:t>
      </w:r>
      <w:r>
        <w:t>μεθοδολογία</w:t>
      </w:r>
      <w:r>
        <w:t xml:space="preserve"> </w:t>
      </w:r>
      <w:r>
        <w:t>κοστολόγησης</w:t>
      </w:r>
      <w:r>
        <w:t xml:space="preserve"> </w:t>
      </w:r>
      <w:r>
        <w:t>που</w:t>
      </w:r>
      <w:r>
        <w:t xml:space="preserve"> </w:t>
      </w:r>
      <w:r>
        <w:t>ονομάζεται</w:t>
      </w:r>
      <w:r>
        <w:t xml:space="preserve"> </w:t>
      </w:r>
      <w:r>
        <w:t>κοστολόγηση</w:t>
      </w:r>
      <w:r>
        <w:t xml:space="preserve"> </w:t>
      </w:r>
      <w:r>
        <w:t>βάσει</w:t>
      </w:r>
      <w:r>
        <w:t xml:space="preserve"> </w:t>
      </w:r>
      <w:r>
        <w:t>δραστηριότητας</w:t>
      </w:r>
      <w:r>
        <w:t xml:space="preserve">. </w:t>
      </w:r>
      <w:r>
        <w:t>Το</w:t>
      </w:r>
      <w:r>
        <w:t xml:space="preserve"> </w:t>
      </w:r>
      <w:r>
        <w:t>σύστημα</w:t>
      </w:r>
      <w:r>
        <w:t xml:space="preserve"> </w:t>
      </w:r>
      <w:r>
        <w:t>κοστολόγησης</w:t>
      </w:r>
      <w:r>
        <w:t xml:space="preserve"> </w:t>
      </w:r>
      <w:r>
        <w:t>βάσει</w:t>
      </w:r>
      <w:r>
        <w:t xml:space="preserve"> </w:t>
      </w:r>
      <w:r>
        <w:t>δραστηριοτήτων</w:t>
      </w:r>
      <w:r>
        <w:t xml:space="preserve"> </w:t>
      </w:r>
      <w:r>
        <w:t>είναι</w:t>
      </w:r>
      <w:r>
        <w:t xml:space="preserve"> </w:t>
      </w:r>
      <w:r>
        <w:t>μια</w:t>
      </w:r>
      <w:r>
        <w:t xml:space="preserve"> </w:t>
      </w:r>
      <w:r>
        <w:t>συγκεκριμένη</w:t>
      </w:r>
      <w:r>
        <w:t xml:space="preserve"> </w:t>
      </w:r>
      <w:r>
        <w:t>μέθοδος</w:t>
      </w:r>
      <w:r>
        <w:t xml:space="preserve"> </w:t>
      </w:r>
      <w:r>
        <w:t>της</w:t>
      </w:r>
      <w:r>
        <w:t xml:space="preserve"> </w:t>
      </w:r>
      <w:r>
        <w:t>πλήρως</w:t>
      </w:r>
      <w:r>
        <w:t xml:space="preserve"> </w:t>
      </w:r>
      <w:r>
        <w:t>κατανεμημένης</w:t>
      </w:r>
      <w:r>
        <w:t xml:space="preserve"> </w:t>
      </w:r>
      <w:r>
        <w:t>μεθόδου</w:t>
      </w:r>
      <w:r>
        <w:t xml:space="preserve"> </w:t>
      </w:r>
      <w:r>
        <w:t>επιμερισμού</w:t>
      </w:r>
      <w:r>
        <w:t xml:space="preserve"> </w:t>
      </w:r>
      <w:r>
        <w:t>του</w:t>
      </w:r>
      <w:r>
        <w:t xml:space="preserve"> </w:t>
      </w:r>
      <w:r>
        <w:t>κόστους</w:t>
      </w:r>
      <w:r>
        <w:t>.</w:t>
      </w:r>
    </w:p>
    <w:p w14:paraId="7214E3FF" w14:textId="77777777" w:rsidR="007B1A84" w:rsidRDefault="002A0261" w:rsidP="003E0C33">
      <w:pPr>
        <w:pStyle w:val="P68B1DB1-a39"/>
        <w:spacing w:after="120"/>
        <w:ind w:left="25" w:right="425"/>
        <w:jc w:val="both"/>
      </w:pPr>
      <w:r>
        <w:t>Για</w:t>
      </w:r>
      <w:r>
        <w:t xml:space="preserve"> </w:t>
      </w:r>
      <w:r>
        <w:t>να</w:t>
      </w:r>
      <w:r>
        <w:t xml:space="preserve"> </w:t>
      </w:r>
      <w:r>
        <w:t>προσδιοριστεί</w:t>
      </w:r>
      <w:r>
        <w:t xml:space="preserve"> </w:t>
      </w:r>
      <w:r>
        <w:t>το</w:t>
      </w:r>
      <w:r>
        <w:t xml:space="preserve"> </w:t>
      </w:r>
      <w:r>
        <w:t>κόστος</w:t>
      </w:r>
      <w:r>
        <w:t xml:space="preserve">, </w:t>
      </w:r>
      <w:r>
        <w:t>ακολουθούνται</w:t>
      </w:r>
      <w:r>
        <w:t xml:space="preserve"> </w:t>
      </w:r>
      <w:r>
        <w:t>διάφορα</w:t>
      </w:r>
      <w:r>
        <w:t xml:space="preserve"> </w:t>
      </w:r>
      <w:r>
        <w:t>βήματα</w:t>
      </w:r>
      <w:r>
        <w:t xml:space="preserve">. </w:t>
      </w:r>
      <w:r>
        <w:t>Πρώτον</w:t>
      </w:r>
      <w:r>
        <w:t xml:space="preserve">, </w:t>
      </w:r>
      <w:r>
        <w:t>καθορίζεται</w:t>
      </w:r>
      <w:r>
        <w:t xml:space="preserve"> </w:t>
      </w:r>
      <w:r>
        <w:t>το</w:t>
      </w:r>
      <w:r>
        <w:t xml:space="preserve"> </w:t>
      </w:r>
      <w:r>
        <w:t>κόστος</w:t>
      </w:r>
      <w:r>
        <w:t xml:space="preserve"> </w:t>
      </w:r>
      <w:r>
        <w:t>που</w:t>
      </w:r>
      <w:r>
        <w:t xml:space="preserve"> </w:t>
      </w:r>
      <w:r>
        <w:t>πρέπει</w:t>
      </w:r>
      <w:r>
        <w:t xml:space="preserve"> </w:t>
      </w:r>
      <w:r>
        <w:t>να</w:t>
      </w:r>
      <w:r>
        <w:t xml:space="preserve"> </w:t>
      </w:r>
      <w:r>
        <w:t>καταλογιστεί</w:t>
      </w:r>
      <w:r>
        <w:t xml:space="preserve"> </w:t>
      </w:r>
      <w:r>
        <w:t>από</w:t>
      </w:r>
      <w:r>
        <w:t xml:space="preserve"> </w:t>
      </w:r>
      <w:r>
        <w:t>το</w:t>
      </w:r>
      <w:r>
        <w:t xml:space="preserve"> </w:t>
      </w:r>
      <w:r>
        <w:t>λογαριασμό</w:t>
      </w:r>
      <w:r>
        <w:t xml:space="preserve"> </w:t>
      </w:r>
      <w:r>
        <w:t>αποτελεσμάτων</w:t>
      </w:r>
      <w:r>
        <w:t xml:space="preserve"> </w:t>
      </w:r>
      <w:r>
        <w:t>χρήσης</w:t>
      </w:r>
      <w:r>
        <w:t>.</w:t>
      </w:r>
    </w:p>
    <w:p w14:paraId="267BA66C" w14:textId="77777777" w:rsidR="007B1A84" w:rsidRDefault="002A0261" w:rsidP="003E0C33">
      <w:pPr>
        <w:pStyle w:val="P68B1DB1-a39"/>
        <w:spacing w:after="120"/>
        <w:ind w:left="25" w:right="412"/>
        <w:jc w:val="both"/>
      </w:pPr>
      <w:r>
        <w:t>Δεύτερον</w:t>
      </w:r>
      <w:r>
        <w:t xml:space="preserve">, </w:t>
      </w:r>
      <w:r>
        <w:t>οι</w:t>
      </w:r>
      <w:r>
        <w:t xml:space="preserve"> </w:t>
      </w:r>
      <w:r>
        <w:t>δαπάνες</w:t>
      </w:r>
      <w:r>
        <w:t xml:space="preserve"> </w:t>
      </w:r>
      <w:r>
        <w:t>καταλογίζονται</w:t>
      </w:r>
      <w:r>
        <w:t xml:space="preserve"> </w:t>
      </w:r>
      <w:r>
        <w:t>στα</w:t>
      </w:r>
      <w:r>
        <w:t xml:space="preserve"> </w:t>
      </w:r>
      <w:r>
        <w:t>κέντρα</w:t>
      </w:r>
      <w:r>
        <w:t xml:space="preserve"> </w:t>
      </w:r>
      <w:r>
        <w:t>δαπανών</w:t>
      </w:r>
      <w:r>
        <w:t xml:space="preserve">: </w:t>
      </w:r>
      <w:r>
        <w:t>το</w:t>
      </w:r>
      <w:r>
        <w:t xml:space="preserve"> </w:t>
      </w:r>
      <w:r>
        <w:t>μεγαλύτερο</w:t>
      </w:r>
      <w:r>
        <w:t xml:space="preserve"> </w:t>
      </w:r>
      <w:r>
        <w:t>μέρος</w:t>
      </w:r>
      <w:r>
        <w:t xml:space="preserve"> </w:t>
      </w:r>
      <w:r>
        <w:t>του</w:t>
      </w:r>
      <w:r>
        <w:t xml:space="preserve"> </w:t>
      </w:r>
      <w:r>
        <w:t>καταλογιστέου</w:t>
      </w:r>
      <w:r>
        <w:t xml:space="preserve"> </w:t>
      </w:r>
      <w:r>
        <w:t>κόστους</w:t>
      </w:r>
      <w:r>
        <w:t xml:space="preserve"> ([85-90]% </w:t>
      </w:r>
      <w:r>
        <w:t>αποδίδεται</w:t>
      </w:r>
      <w:r>
        <w:t xml:space="preserve"> </w:t>
      </w:r>
      <w:r>
        <w:t>στα</w:t>
      </w:r>
      <w:r>
        <w:t xml:space="preserve"> </w:t>
      </w:r>
      <w:r>
        <w:t>κέντρα</w:t>
      </w:r>
      <w:r>
        <w:t xml:space="preserve"> </w:t>
      </w:r>
      <w:r>
        <w:t>κόστους</w:t>
      </w:r>
      <w:r>
        <w:t xml:space="preserve"> (CeCos)</w:t>
      </w:r>
      <w:r>
        <w:t>·</w:t>
      </w:r>
      <w:r>
        <w:t xml:space="preserve"> </w:t>
      </w:r>
      <w:r>
        <w:t>ένα</w:t>
      </w:r>
      <w:r>
        <w:t xml:space="preserve"> </w:t>
      </w:r>
      <w:r>
        <w:t>μικρό</w:t>
      </w:r>
      <w:r>
        <w:t xml:space="preserve"> </w:t>
      </w:r>
      <w:r>
        <w:t>ποσοστό</w:t>
      </w:r>
      <w:r>
        <w:t xml:space="preserve"> </w:t>
      </w:r>
      <w:r>
        <w:t>του</w:t>
      </w:r>
      <w:r>
        <w:t xml:space="preserve"> </w:t>
      </w:r>
      <w:r>
        <w:t>κόστους</w:t>
      </w:r>
      <w:r>
        <w:t xml:space="preserve"> ([10-12]%) </w:t>
      </w:r>
      <w:r>
        <w:t>αποδίδεται</w:t>
      </w:r>
      <w:r>
        <w:t xml:space="preserve"> </w:t>
      </w:r>
      <w:r>
        <w:t>απευθείας</w:t>
      </w:r>
      <w:r>
        <w:t xml:space="preserve"> </w:t>
      </w:r>
      <w:r>
        <w:t>στα</w:t>
      </w:r>
      <w:r>
        <w:t xml:space="preserve"> </w:t>
      </w:r>
      <w:r>
        <w:t>τελικά</w:t>
      </w:r>
      <w:r>
        <w:t xml:space="preserve"> </w:t>
      </w:r>
      <w:r>
        <w:t>προϊόντα</w:t>
      </w:r>
      <w:r>
        <w:t>.</w:t>
      </w:r>
    </w:p>
    <w:p w14:paraId="70AC4F94" w14:textId="77777777" w:rsidR="007B1A84" w:rsidRDefault="002A0261" w:rsidP="003E0C33">
      <w:pPr>
        <w:pStyle w:val="P68B1DB1-a39"/>
        <w:spacing w:after="120"/>
        <w:ind w:left="25" w:right="440"/>
        <w:jc w:val="both"/>
      </w:pPr>
      <w:r>
        <w:t>Τα</w:t>
      </w:r>
      <w:r>
        <w:t xml:space="preserve"> </w:t>
      </w:r>
      <w:r>
        <w:t>κέντρα</w:t>
      </w:r>
      <w:r>
        <w:t xml:space="preserve"> </w:t>
      </w:r>
      <w:r>
        <w:t>κόστους</w:t>
      </w:r>
      <w:r>
        <w:t xml:space="preserve"> </w:t>
      </w:r>
      <w:r>
        <w:t>είναι</w:t>
      </w:r>
      <w:r>
        <w:t xml:space="preserve"> </w:t>
      </w:r>
      <w:r>
        <w:t>οι</w:t>
      </w:r>
      <w:r>
        <w:t xml:space="preserve"> </w:t>
      </w:r>
      <w:r>
        <w:t>βασικές</w:t>
      </w:r>
      <w:r>
        <w:t xml:space="preserve"> </w:t>
      </w:r>
      <w:r>
        <w:t>μονάδες</w:t>
      </w:r>
      <w:r>
        <w:t xml:space="preserve"> </w:t>
      </w:r>
      <w:r>
        <w:t>του</w:t>
      </w:r>
      <w:r>
        <w:t xml:space="preserve"> </w:t>
      </w:r>
      <w:r>
        <w:t>συστήματος</w:t>
      </w:r>
      <w:r>
        <w:t xml:space="preserve"> </w:t>
      </w:r>
      <w:r>
        <w:t>αναλυτικής</w:t>
      </w:r>
      <w:r>
        <w:t xml:space="preserve"> </w:t>
      </w:r>
      <w:r>
        <w:t>λογιστικής</w:t>
      </w:r>
      <w:r>
        <w:t xml:space="preserve">. </w:t>
      </w:r>
      <w:r>
        <w:t>Ορίζονται</w:t>
      </w:r>
      <w:r>
        <w:t xml:space="preserve"> </w:t>
      </w:r>
      <w:r>
        <w:t>ως</w:t>
      </w:r>
      <w:r>
        <w:t xml:space="preserve"> </w:t>
      </w:r>
      <w:r>
        <w:t>μονάδες</w:t>
      </w:r>
      <w:r>
        <w:t xml:space="preserve"> </w:t>
      </w:r>
      <w:r>
        <w:t>κατανάλωσης</w:t>
      </w:r>
      <w:r>
        <w:t xml:space="preserve"> </w:t>
      </w:r>
      <w:r>
        <w:t>πόρων</w:t>
      </w:r>
      <w:r>
        <w:t xml:space="preserve"> </w:t>
      </w:r>
      <w:r>
        <w:t>που</w:t>
      </w:r>
      <w:r>
        <w:t xml:space="preserve"> </w:t>
      </w:r>
      <w:r>
        <w:t>είναι</w:t>
      </w:r>
      <w:r>
        <w:t xml:space="preserve"> </w:t>
      </w:r>
      <w:r>
        <w:t>συναφείς</w:t>
      </w:r>
      <w:r>
        <w:t xml:space="preserve"> </w:t>
      </w:r>
      <w:r>
        <w:t>από</w:t>
      </w:r>
      <w:r>
        <w:t xml:space="preserve"> </w:t>
      </w:r>
      <w:r>
        <w:t>την</w:t>
      </w:r>
      <w:r>
        <w:t xml:space="preserve"> </w:t>
      </w:r>
      <w:r>
        <w:t>άποψη</w:t>
      </w:r>
      <w:r>
        <w:t xml:space="preserve"> </w:t>
      </w:r>
      <w:r>
        <w:t>της</w:t>
      </w:r>
      <w:r>
        <w:t xml:space="preserve"> </w:t>
      </w:r>
      <w:r>
        <w:t>κοστολόγησης</w:t>
      </w:r>
      <w:r>
        <w:t xml:space="preserve">. </w:t>
      </w:r>
      <w:r>
        <w:t>Το</w:t>
      </w:r>
      <w:r>
        <w:t xml:space="preserve"> </w:t>
      </w:r>
      <w:r>
        <w:t>αναλυτικό</w:t>
      </w:r>
      <w:r>
        <w:t xml:space="preserve"> </w:t>
      </w:r>
      <w:r>
        <w:t>λογιστικό</w:t>
      </w:r>
      <w:r>
        <w:t xml:space="preserve"> </w:t>
      </w:r>
      <w:r>
        <w:t>σύστημα</w:t>
      </w:r>
      <w:r>
        <w:t xml:space="preserve"> </w:t>
      </w:r>
      <w:r>
        <w:t>του</w:t>
      </w:r>
      <w:r>
        <w:t xml:space="preserve"> Correos </w:t>
      </w:r>
      <w:r>
        <w:t>διακρίνει</w:t>
      </w:r>
      <w:r>
        <w:t xml:space="preserve"> </w:t>
      </w:r>
      <w:r>
        <w:t>μεταξύ</w:t>
      </w:r>
      <w:r>
        <w:t>:</w:t>
      </w:r>
    </w:p>
    <w:p w14:paraId="1D75D282" w14:textId="77777777" w:rsidR="007B1A84" w:rsidRDefault="002A0261" w:rsidP="003E0C33">
      <w:pPr>
        <w:pStyle w:val="P68B1DB1-a540"/>
        <w:numPr>
          <w:ilvl w:val="1"/>
          <w:numId w:val="2"/>
        </w:numPr>
        <w:tabs>
          <w:tab w:val="left" w:pos="744"/>
          <w:tab w:val="left" w:pos="746"/>
        </w:tabs>
        <w:spacing w:after="120"/>
        <w:ind w:right="425"/>
      </w:pPr>
      <w:r>
        <w:t>Κέντρα λειτουργικών δαπανών: CECOS που καταναλώνουν πόρους που σχετίζονται άμεσα με τα τελικά προϊόντα και υπηρεσίες (π.χ. ταχυδρομείο).</w:t>
      </w:r>
    </w:p>
    <w:p w14:paraId="6F96D5D5" w14:textId="77777777" w:rsidR="007007EE" w:rsidRPr="007007EE" w:rsidRDefault="002A0261" w:rsidP="007007EE">
      <w:pPr>
        <w:pStyle w:val="P68B1DB1-a540"/>
        <w:numPr>
          <w:ilvl w:val="1"/>
          <w:numId w:val="2"/>
        </w:numPr>
        <w:tabs>
          <w:tab w:val="left" w:pos="744"/>
          <w:tab w:val="left" w:pos="746"/>
        </w:tabs>
        <w:spacing w:after="120"/>
        <w:ind w:right="425"/>
      </w:pPr>
      <w:r>
        <w:t>Κέντρα διαρθρωτικών δαπανών: CECOS που συγκεντρώνουν το διαρθρωτικό κόστος που δεν συνδέεται άμεσα με τα τελικά προϊόντα και υπηρεσίες. Αυτές αντιστοιχούν κυρίως στις λειτουργίες υποστήριξης, διοίκησης, διαχείρισης ανθρώπινων πόρων και ΤΠ.</w:t>
      </w:r>
    </w:p>
    <w:p w14:paraId="6DA8BD17" w14:textId="6A057CEF" w:rsidR="007B1A84" w:rsidRDefault="002A0261" w:rsidP="007007EE">
      <w:pPr>
        <w:pStyle w:val="P68B1DB1-a540"/>
        <w:numPr>
          <w:ilvl w:val="1"/>
          <w:numId w:val="2"/>
        </w:numPr>
        <w:tabs>
          <w:tab w:val="left" w:pos="744"/>
          <w:tab w:val="left" w:pos="746"/>
        </w:tabs>
        <w:spacing w:after="120"/>
        <w:ind w:right="425"/>
      </w:pPr>
      <w:r>
        <w:t xml:space="preserve">Τρίτον, οι δαπάνες που αποδίδονται στα κέντρα διαρθρωτικού κόστους κατανέμονται στα κέντρα λειτουργικών δαπανών βάσει σχέσης αιτιώδους συνάφειας μεταξύ τους, βάσει </w:t>
      </w:r>
      <w:r>
        <w:lastRenderedPageBreak/>
        <w:t>«δραστηριοτήτων». Οι δραστηριότητες είναι ομάδες ομοιογενών καθηκόντων που αποσκοπούν στην παροχή τελικών υπηρεσιών ή στην υποστήριξη της παροχής τους (π.χ. χειροκίνητη διαλογή, αυτόματη διαλογή, μεταφορά). [21 δραστηριότητες διακρίθηκαν στο αναλυτικό λογιστικό σύστημα της Correos το 2018.]</w:t>
      </w:r>
    </w:p>
    <w:p w14:paraId="7D6B035A" w14:textId="77777777" w:rsidR="007B1A84" w:rsidRDefault="002A0261" w:rsidP="003E0C33">
      <w:pPr>
        <w:pStyle w:val="P68B1DB1-a39"/>
        <w:spacing w:after="120"/>
        <w:ind w:left="25" w:right="415"/>
        <w:jc w:val="both"/>
      </w:pPr>
      <w:r>
        <w:t>Οι</w:t>
      </w:r>
      <w:r>
        <w:t xml:space="preserve"> </w:t>
      </w:r>
      <w:r>
        <w:t>δαπάνες</w:t>
      </w:r>
      <w:r>
        <w:t xml:space="preserve"> </w:t>
      </w:r>
      <w:r>
        <w:t>που</w:t>
      </w:r>
      <w:r>
        <w:t xml:space="preserve"> </w:t>
      </w:r>
      <w:r>
        <w:t>αποδίδονται</w:t>
      </w:r>
      <w:r>
        <w:t xml:space="preserve"> </w:t>
      </w:r>
      <w:r>
        <w:t>στα</w:t>
      </w:r>
      <w:r>
        <w:t xml:space="preserve"> </w:t>
      </w:r>
      <w:r>
        <w:t>κέντρα</w:t>
      </w:r>
      <w:r>
        <w:t xml:space="preserve"> </w:t>
      </w:r>
      <w:r>
        <w:t>λειτουργικών</w:t>
      </w:r>
      <w:r>
        <w:t xml:space="preserve"> </w:t>
      </w:r>
      <w:r>
        <w:t>δαπανών</w:t>
      </w:r>
      <w:r>
        <w:t xml:space="preserve"> </w:t>
      </w:r>
      <w:r>
        <w:t>κατανέμονται</w:t>
      </w:r>
      <w:r>
        <w:t xml:space="preserve"> </w:t>
      </w:r>
      <w:r>
        <w:t>σε</w:t>
      </w:r>
      <w:r>
        <w:t xml:space="preserve"> </w:t>
      </w:r>
      <w:r>
        <w:t>δραστηριότητες</w:t>
      </w:r>
      <w:r>
        <w:t xml:space="preserve"> </w:t>
      </w:r>
      <w:r>
        <w:t>με</w:t>
      </w:r>
      <w:r>
        <w:t xml:space="preserve"> </w:t>
      </w:r>
      <w:r>
        <w:t>βάση</w:t>
      </w:r>
      <w:r>
        <w:t xml:space="preserve"> </w:t>
      </w:r>
      <w:r>
        <w:t>την</w:t>
      </w:r>
      <w:r>
        <w:t xml:space="preserve"> </w:t>
      </w:r>
      <w:r>
        <w:t>κατανάλωσή</w:t>
      </w:r>
      <w:r>
        <w:t xml:space="preserve"> </w:t>
      </w:r>
      <w:r>
        <w:t>τους</w:t>
      </w:r>
      <w:r>
        <w:t xml:space="preserve"> </w:t>
      </w:r>
      <w:r>
        <w:t>από</w:t>
      </w:r>
      <w:r>
        <w:t xml:space="preserve"> </w:t>
      </w:r>
      <w:r>
        <w:t>τους</w:t>
      </w:r>
      <w:r>
        <w:t xml:space="preserve"> </w:t>
      </w:r>
      <w:r>
        <w:t>πόρους</w:t>
      </w:r>
      <w:r>
        <w:t>.</w:t>
      </w:r>
    </w:p>
    <w:p w14:paraId="0D6C9866" w14:textId="77777777" w:rsidR="007B1A84" w:rsidRDefault="002A0261" w:rsidP="003E0C33">
      <w:pPr>
        <w:pStyle w:val="P68B1DB1-a39"/>
        <w:spacing w:after="120"/>
        <w:ind w:left="25"/>
        <w:jc w:val="both"/>
      </w:pPr>
      <w:r>
        <w:t>Τέλος</w:t>
      </w:r>
      <w:r>
        <w:t xml:space="preserve">, </w:t>
      </w:r>
      <w:r>
        <w:t>το</w:t>
      </w:r>
      <w:r>
        <w:t xml:space="preserve"> </w:t>
      </w:r>
      <w:r>
        <w:t>κόστος</w:t>
      </w:r>
      <w:r>
        <w:t xml:space="preserve"> </w:t>
      </w:r>
      <w:r>
        <w:t>των</w:t>
      </w:r>
      <w:r>
        <w:t xml:space="preserve"> </w:t>
      </w:r>
      <w:r>
        <w:t>δραστηριοτήτων</w:t>
      </w:r>
      <w:r>
        <w:t xml:space="preserve"> </w:t>
      </w:r>
      <w:r>
        <w:t>αποδίδεται</w:t>
      </w:r>
      <w:r>
        <w:t xml:space="preserve"> </w:t>
      </w:r>
      <w:r>
        <w:t>σε</w:t>
      </w:r>
      <w:r>
        <w:t xml:space="preserve"> </w:t>
      </w:r>
      <w:r>
        <w:t>τελικά</w:t>
      </w:r>
      <w:r>
        <w:t xml:space="preserve"> </w:t>
      </w:r>
      <w:r>
        <w:t>προϊόντα</w:t>
      </w:r>
      <w:r>
        <w:t xml:space="preserve"> </w:t>
      </w:r>
      <w:r>
        <w:t>και</w:t>
      </w:r>
      <w:r>
        <w:t xml:space="preserve"> </w:t>
      </w:r>
      <w:r>
        <w:t>υπηρεσίες</w:t>
      </w:r>
      <w:r>
        <w:t xml:space="preserve"> </w:t>
      </w:r>
      <w:r>
        <w:t>βάσει</w:t>
      </w:r>
      <w:r>
        <w:t xml:space="preserve"> </w:t>
      </w:r>
      <w:r>
        <w:t>αιτιώδους</w:t>
      </w:r>
      <w:r>
        <w:t xml:space="preserve"> </w:t>
      </w:r>
      <w:r>
        <w:t>συνάφειας</w:t>
      </w:r>
      <w:r>
        <w:t>.</w:t>
      </w:r>
    </w:p>
    <w:p w14:paraId="1A1F288B" w14:textId="77777777" w:rsidR="007B1A84" w:rsidRDefault="002A0261" w:rsidP="003E0C33">
      <w:pPr>
        <w:pStyle w:val="P68B1DB1-a540"/>
        <w:numPr>
          <w:ilvl w:val="0"/>
          <w:numId w:val="1"/>
        </w:numPr>
        <w:tabs>
          <w:tab w:val="left" w:pos="520"/>
        </w:tabs>
        <w:spacing w:after="120"/>
        <w:ind w:left="520" w:hanging="495"/>
      </w:pPr>
      <w:r>
        <w:t>Απόδοση εσόδων</w:t>
      </w:r>
    </w:p>
    <w:p w14:paraId="38632BC5" w14:textId="77777777" w:rsidR="007B1A84" w:rsidRDefault="002A0261" w:rsidP="003E0C33">
      <w:pPr>
        <w:pStyle w:val="P68B1DB1-a39"/>
        <w:spacing w:after="120"/>
        <w:ind w:left="521" w:right="433"/>
        <w:jc w:val="both"/>
      </w:pPr>
      <w:r>
        <w:t>Για</w:t>
      </w:r>
      <w:r>
        <w:t xml:space="preserve"> </w:t>
      </w:r>
      <w:r>
        <w:t>τον</w:t>
      </w:r>
      <w:r>
        <w:t xml:space="preserve"> </w:t>
      </w:r>
      <w:r>
        <w:t>προσδιορισμό</w:t>
      </w:r>
      <w:r>
        <w:t xml:space="preserve"> </w:t>
      </w:r>
      <w:r>
        <w:t>των</w:t>
      </w:r>
      <w:r>
        <w:t xml:space="preserve"> </w:t>
      </w:r>
      <w:r>
        <w:t>εσόδων</w:t>
      </w:r>
      <w:r>
        <w:t xml:space="preserve">, </w:t>
      </w:r>
      <w:r>
        <w:t>ακολουθούνται</w:t>
      </w:r>
      <w:r>
        <w:t xml:space="preserve"> </w:t>
      </w:r>
      <w:r>
        <w:t>διάφορα</w:t>
      </w:r>
      <w:r>
        <w:t xml:space="preserve"> </w:t>
      </w:r>
      <w:r>
        <w:t>βήματα</w:t>
      </w:r>
      <w:r>
        <w:t xml:space="preserve">. </w:t>
      </w:r>
      <w:r>
        <w:t>Πρώτον</w:t>
      </w:r>
      <w:r>
        <w:t xml:space="preserve">, </w:t>
      </w:r>
      <w:r>
        <w:t>το</w:t>
      </w:r>
      <w:r>
        <w:t xml:space="preserve"> </w:t>
      </w:r>
      <w:r>
        <w:t>ποσό</w:t>
      </w:r>
      <w:r>
        <w:t xml:space="preserve"> </w:t>
      </w:r>
      <w:r>
        <w:t>των</w:t>
      </w:r>
      <w:r>
        <w:t xml:space="preserve"> </w:t>
      </w:r>
      <w:r>
        <w:t>εσόδων</w:t>
      </w:r>
      <w:r>
        <w:t xml:space="preserve"> </w:t>
      </w:r>
      <w:r>
        <w:t>που</w:t>
      </w:r>
      <w:r>
        <w:t xml:space="preserve"> </w:t>
      </w:r>
      <w:r>
        <w:t>πρέπει</w:t>
      </w:r>
      <w:r>
        <w:t xml:space="preserve"> </w:t>
      </w:r>
      <w:r>
        <w:t>να</w:t>
      </w:r>
      <w:r>
        <w:t xml:space="preserve"> </w:t>
      </w:r>
      <w:r>
        <w:t>καταλογιστούν</w:t>
      </w:r>
      <w:r>
        <w:t xml:space="preserve"> </w:t>
      </w:r>
      <w:r>
        <w:t>καθορίζεται</w:t>
      </w:r>
      <w:r>
        <w:t xml:space="preserve"> </w:t>
      </w:r>
      <w:r>
        <w:t>από</w:t>
      </w:r>
      <w:r>
        <w:t xml:space="preserve"> </w:t>
      </w:r>
      <w:r>
        <w:t>το</w:t>
      </w:r>
      <w:r>
        <w:t xml:space="preserve"> </w:t>
      </w:r>
      <w:r>
        <w:t>λογαριασμό</w:t>
      </w:r>
      <w:r>
        <w:t xml:space="preserve"> </w:t>
      </w:r>
      <w:r>
        <w:t>αποτελεσμάτων</w:t>
      </w:r>
      <w:r>
        <w:t xml:space="preserve"> </w:t>
      </w:r>
      <w:r>
        <w:t>χρήσης</w:t>
      </w:r>
      <w:r>
        <w:t>.</w:t>
      </w:r>
    </w:p>
    <w:p w14:paraId="4F930526" w14:textId="77777777" w:rsidR="007B1A84" w:rsidRDefault="002A0261" w:rsidP="003E0C33">
      <w:pPr>
        <w:pStyle w:val="P68B1DB1-a39"/>
        <w:spacing w:after="120"/>
        <w:ind w:left="521" w:right="435"/>
        <w:jc w:val="both"/>
      </w:pPr>
      <w:r>
        <w:t>Τα</w:t>
      </w:r>
      <w:r>
        <w:t xml:space="preserve"> </w:t>
      </w:r>
      <w:r>
        <w:t>περισσότερα</w:t>
      </w:r>
      <w:r>
        <w:t xml:space="preserve"> </w:t>
      </w:r>
      <w:r>
        <w:t>από</w:t>
      </w:r>
      <w:r>
        <w:t xml:space="preserve"> </w:t>
      </w:r>
      <w:r>
        <w:t>αυτά</w:t>
      </w:r>
      <w:r>
        <w:t xml:space="preserve"> </w:t>
      </w:r>
      <w:r>
        <w:t>τα</w:t>
      </w:r>
      <w:r>
        <w:t xml:space="preserve"> </w:t>
      </w:r>
      <w:r>
        <w:t>έσοδα</w:t>
      </w:r>
      <w:r>
        <w:t xml:space="preserve"> ([94-97] %) </w:t>
      </w:r>
      <w:r>
        <w:t>αντιστοιχούν</w:t>
      </w:r>
      <w:r>
        <w:t xml:space="preserve"> </w:t>
      </w:r>
      <w:r>
        <w:t>σε</w:t>
      </w:r>
      <w:r>
        <w:t xml:space="preserve"> </w:t>
      </w:r>
      <w:r>
        <w:t>απευθείας</w:t>
      </w:r>
      <w:r>
        <w:t xml:space="preserve"> </w:t>
      </w:r>
      <w:r>
        <w:t>πωλήσεις</w:t>
      </w:r>
      <w:r>
        <w:t xml:space="preserve"> </w:t>
      </w:r>
      <w:r>
        <w:t>που</w:t>
      </w:r>
      <w:r>
        <w:t xml:space="preserve"> </w:t>
      </w:r>
      <w:r>
        <w:t>καταχωρίζονται</w:t>
      </w:r>
      <w:r>
        <w:t xml:space="preserve"> </w:t>
      </w:r>
      <w:r>
        <w:t>στο</w:t>
      </w:r>
      <w:r>
        <w:t xml:space="preserve"> </w:t>
      </w:r>
      <w:r>
        <w:t>σύστημα</w:t>
      </w:r>
      <w:r>
        <w:t xml:space="preserve"> </w:t>
      </w:r>
      <w:r>
        <w:t>τιμολόγησης</w:t>
      </w:r>
      <w:r>
        <w:t xml:space="preserve"> </w:t>
      </w:r>
      <w:r>
        <w:t>της</w:t>
      </w:r>
      <w:r>
        <w:t xml:space="preserve"> Correos </w:t>
      </w:r>
      <w:r>
        <w:t>και</w:t>
      </w:r>
      <w:r>
        <w:t xml:space="preserve"> </w:t>
      </w:r>
      <w:r>
        <w:t>μπορούν</w:t>
      </w:r>
      <w:r>
        <w:t xml:space="preserve"> </w:t>
      </w:r>
      <w:r>
        <w:t>να</w:t>
      </w:r>
      <w:r>
        <w:t xml:space="preserve"> </w:t>
      </w:r>
      <w:r>
        <w:t>αποδοθούν</w:t>
      </w:r>
      <w:r>
        <w:t xml:space="preserve"> </w:t>
      </w:r>
      <w:r>
        <w:t>απευθείας</w:t>
      </w:r>
      <w:r>
        <w:t xml:space="preserve"> </w:t>
      </w:r>
      <w:r>
        <w:t>στα</w:t>
      </w:r>
      <w:r>
        <w:t xml:space="preserve"> </w:t>
      </w:r>
      <w:r>
        <w:t>τελικά</w:t>
      </w:r>
      <w:r>
        <w:t xml:space="preserve"> </w:t>
      </w:r>
      <w:r>
        <w:t>προϊόντα</w:t>
      </w:r>
      <w:r>
        <w:t xml:space="preserve"> </w:t>
      </w:r>
      <w:r>
        <w:t>και</w:t>
      </w:r>
      <w:r>
        <w:t xml:space="preserve"> </w:t>
      </w:r>
      <w:r>
        <w:t>υπηρεσίες</w:t>
      </w:r>
      <w:r>
        <w:t>.</w:t>
      </w:r>
    </w:p>
    <w:p w14:paraId="563961D0" w14:textId="77777777" w:rsidR="007B1A84" w:rsidRDefault="002A0261" w:rsidP="003E0C33">
      <w:pPr>
        <w:pStyle w:val="P68B1DB1-a39"/>
        <w:spacing w:after="120"/>
        <w:ind w:left="521" w:right="418"/>
        <w:jc w:val="both"/>
      </w:pPr>
      <w:r>
        <w:t>Τα</w:t>
      </w:r>
      <w:r>
        <w:t xml:space="preserve"> </w:t>
      </w:r>
      <w:r>
        <w:t>υπόλοιπα</w:t>
      </w:r>
      <w:r>
        <w:t xml:space="preserve"> </w:t>
      </w:r>
      <w:r>
        <w:t>έσοδα</w:t>
      </w:r>
      <w:r>
        <w:t xml:space="preserve"> ([3-6] %), </w:t>
      </w:r>
      <w:r>
        <w:t>τα</w:t>
      </w:r>
      <w:r>
        <w:t xml:space="preserve"> </w:t>
      </w:r>
      <w:r>
        <w:t>οποία</w:t>
      </w:r>
      <w:r>
        <w:t xml:space="preserve"> </w:t>
      </w:r>
      <w:r>
        <w:t>έχουν</w:t>
      </w:r>
      <w:r>
        <w:t xml:space="preserve"> </w:t>
      </w:r>
      <w:r>
        <w:t>διαφορετική</w:t>
      </w:r>
      <w:r>
        <w:t xml:space="preserve"> </w:t>
      </w:r>
      <w:r>
        <w:t>προέλευση</w:t>
      </w:r>
      <w:r>
        <w:t xml:space="preserve">, </w:t>
      </w:r>
      <w:r>
        <w:t>κατανέμονται</w:t>
      </w:r>
      <w:r>
        <w:t xml:space="preserve"> </w:t>
      </w:r>
      <w:r>
        <w:t>στα</w:t>
      </w:r>
      <w:r>
        <w:t xml:space="preserve"> </w:t>
      </w:r>
      <w:r>
        <w:t>τελικά</w:t>
      </w:r>
      <w:r>
        <w:t xml:space="preserve"> </w:t>
      </w:r>
      <w:r>
        <w:t>προϊόντα</w:t>
      </w:r>
      <w:r>
        <w:t xml:space="preserve"> </w:t>
      </w:r>
      <w:r>
        <w:t>και</w:t>
      </w:r>
      <w:r>
        <w:t xml:space="preserve"> </w:t>
      </w:r>
      <w:r>
        <w:t>υπηρεσίες</w:t>
      </w:r>
      <w:r>
        <w:t xml:space="preserve"> </w:t>
      </w:r>
      <w:r>
        <w:t>βάσει</w:t>
      </w:r>
      <w:r>
        <w:t xml:space="preserve"> </w:t>
      </w:r>
      <w:r>
        <w:t>πίνακα</w:t>
      </w:r>
      <w:r>
        <w:t xml:space="preserve"> </w:t>
      </w:r>
      <w:r>
        <w:t>ποσοστών</w:t>
      </w:r>
      <w:r>
        <w:t xml:space="preserve"> </w:t>
      </w:r>
      <w:r>
        <w:t>που</w:t>
      </w:r>
      <w:r>
        <w:t xml:space="preserve"> </w:t>
      </w:r>
      <w:r>
        <w:t>προκύπτει</w:t>
      </w:r>
      <w:r>
        <w:t xml:space="preserve"> </w:t>
      </w:r>
      <w:r>
        <w:t>από</w:t>
      </w:r>
      <w:r>
        <w:t xml:space="preserve"> </w:t>
      </w:r>
      <w:r>
        <w:t>μελέτες</w:t>
      </w:r>
      <w:r>
        <w:t xml:space="preserve"> </w:t>
      </w:r>
      <w:r>
        <w:t>που</w:t>
      </w:r>
      <w:r>
        <w:t xml:space="preserve"> </w:t>
      </w:r>
      <w:r>
        <w:t>πραγματοποίησε</w:t>
      </w:r>
      <w:r>
        <w:t xml:space="preserve"> </w:t>
      </w:r>
      <w:r>
        <w:t>η</w:t>
      </w:r>
      <w:r>
        <w:t xml:space="preserve"> Correos </w:t>
      </w:r>
      <w:r>
        <w:t>σχετικά</w:t>
      </w:r>
      <w:r>
        <w:t xml:space="preserve"> </w:t>
      </w:r>
      <w:r>
        <w:t>με</w:t>
      </w:r>
      <w:r>
        <w:t xml:space="preserve"> </w:t>
      </w:r>
      <w:r>
        <w:t>τη</w:t>
      </w:r>
      <w:r>
        <w:t xml:space="preserve"> </w:t>
      </w:r>
      <w:r>
        <w:t>σχέση</w:t>
      </w:r>
      <w:r>
        <w:t xml:space="preserve"> </w:t>
      </w:r>
      <w:r>
        <w:t>αιτιώδους</w:t>
      </w:r>
      <w:r>
        <w:t xml:space="preserve"> </w:t>
      </w:r>
      <w:r>
        <w:t>συνάφειας</w:t>
      </w:r>
      <w:r>
        <w:t xml:space="preserve"> </w:t>
      </w:r>
      <w:r>
        <w:t>μεταξύ</w:t>
      </w:r>
      <w:r>
        <w:t xml:space="preserve"> </w:t>
      </w:r>
      <w:r>
        <w:t>των</w:t>
      </w:r>
      <w:r>
        <w:t xml:space="preserve"> </w:t>
      </w:r>
      <w:r>
        <w:t>εγγεγραμμένων</w:t>
      </w:r>
      <w:r>
        <w:t xml:space="preserve"> </w:t>
      </w:r>
      <w:r>
        <w:t>εσόδων</w:t>
      </w:r>
      <w:r>
        <w:t xml:space="preserve"> </w:t>
      </w:r>
      <w:r>
        <w:t>και</w:t>
      </w:r>
      <w:r>
        <w:t xml:space="preserve"> </w:t>
      </w:r>
      <w:r>
        <w:t>των</w:t>
      </w:r>
      <w:r>
        <w:t xml:space="preserve"> </w:t>
      </w:r>
      <w:r>
        <w:t>προϊόντων</w:t>
      </w:r>
      <w:r>
        <w:t xml:space="preserve"> </w:t>
      </w:r>
      <w:r>
        <w:t>και</w:t>
      </w:r>
      <w:r>
        <w:t xml:space="preserve"> </w:t>
      </w:r>
      <w:r>
        <w:t>υπηρεσιών</w:t>
      </w:r>
      <w:r>
        <w:t xml:space="preserve"> </w:t>
      </w:r>
      <w:r>
        <w:t>που</w:t>
      </w:r>
      <w:r>
        <w:t xml:space="preserve"> </w:t>
      </w:r>
      <w:r>
        <w:t>παρήγαγαν</w:t>
      </w:r>
      <w:r>
        <w:t xml:space="preserve"> </w:t>
      </w:r>
      <w:r>
        <w:t>τα</w:t>
      </w:r>
      <w:r>
        <w:t xml:space="preserve"> </w:t>
      </w:r>
      <w:r>
        <w:t>εν</w:t>
      </w:r>
      <w:r>
        <w:t xml:space="preserve"> </w:t>
      </w:r>
      <w:r>
        <w:t>λόγω</w:t>
      </w:r>
      <w:r>
        <w:t xml:space="preserve"> </w:t>
      </w:r>
      <w:r>
        <w:t>έσοδα</w:t>
      </w:r>
      <w:r>
        <w:t>.</w:t>
      </w:r>
    </w:p>
    <w:p w14:paraId="726A4EB0" w14:textId="77777777" w:rsidR="007B1A84" w:rsidRDefault="002A0261" w:rsidP="003E0C33">
      <w:pPr>
        <w:pStyle w:val="P68B1DB1-a39"/>
        <w:spacing w:after="120"/>
        <w:ind w:left="25"/>
        <w:jc w:val="both"/>
      </w:pPr>
      <w:r>
        <w:t>Το</w:t>
      </w:r>
      <w:r>
        <w:t xml:space="preserve"> </w:t>
      </w:r>
      <w:r>
        <w:t>σχήμα</w:t>
      </w:r>
      <w:r>
        <w:t xml:space="preserve"> </w:t>
      </w:r>
      <w:r>
        <w:t>που</w:t>
      </w:r>
      <w:r>
        <w:t xml:space="preserve"> </w:t>
      </w:r>
      <w:r>
        <w:t>ακολουθεί</w:t>
      </w:r>
      <w:r>
        <w:t xml:space="preserve"> </w:t>
      </w:r>
      <w:r>
        <w:t>απεικονίζει</w:t>
      </w:r>
      <w:r>
        <w:t xml:space="preserve"> </w:t>
      </w:r>
      <w:r>
        <w:t>τη</w:t>
      </w:r>
      <w:r>
        <w:t xml:space="preserve"> </w:t>
      </w:r>
      <w:r>
        <w:t>λογιστική</w:t>
      </w:r>
      <w:r>
        <w:t xml:space="preserve"> </w:t>
      </w:r>
      <w:r>
        <w:t>μεθοδολογία</w:t>
      </w:r>
      <w:r>
        <w:t xml:space="preserve"> </w:t>
      </w:r>
      <w:r>
        <w:t>που</w:t>
      </w:r>
      <w:r>
        <w:t xml:space="preserve"> </w:t>
      </w:r>
      <w:r>
        <w:t>εφάρμοσε</w:t>
      </w:r>
      <w:r>
        <w:t xml:space="preserve"> </w:t>
      </w:r>
      <w:r>
        <w:t>η</w:t>
      </w:r>
      <w:r>
        <w:t xml:space="preserve"> Correos.</w:t>
      </w:r>
    </w:p>
    <w:p w14:paraId="7359A5E1" w14:textId="77777777" w:rsidR="007B1A84" w:rsidRDefault="002A0261" w:rsidP="003E0C33">
      <w:pPr>
        <w:pStyle w:val="P68B1DB1-a343"/>
        <w:spacing w:after="120"/>
      </w:pPr>
      <w:r>
        <w:rPr>
          <w:noProof/>
        </w:rPr>
        <w:drawing>
          <wp:anchor distT="0" distB="0" distL="0" distR="0" simplePos="0" relativeHeight="487608320" behindDoc="1" locked="0" layoutInCell="1" allowOverlap="1" wp14:anchorId="33692E9A" wp14:editId="76DB18A7">
            <wp:simplePos x="0" y="0"/>
            <wp:positionH relativeFrom="page">
              <wp:posOffset>1092200</wp:posOffset>
            </wp:positionH>
            <wp:positionV relativeFrom="paragraph">
              <wp:posOffset>139700</wp:posOffset>
            </wp:positionV>
            <wp:extent cx="5595620" cy="4062730"/>
            <wp:effectExtent l="0" t="0" r="5080" b="0"/>
            <wp:wrapTopAndBottom/>
            <wp:docPr id="50" name="Εικόνα 50" descr="Graphical user interface, applicati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Εικόνα 50" descr="Graphical user interface, application  Description automatically generated"/>
                    <pic:cNvPicPr/>
                  </pic:nvPicPr>
                  <pic:blipFill>
                    <a:blip r:embed="rId33" cstate="print"/>
                    <a:stretch>
                      <a:fillRect/>
                    </a:stretch>
                  </pic:blipFill>
                  <pic:spPr>
                    <a:xfrm>
                      <a:off x="0" y="0"/>
                      <a:ext cx="5595620" cy="4062730"/>
                    </a:xfrm>
                    <a:prstGeom prst="rect">
                      <a:avLst/>
                    </a:prstGeom>
                  </pic:spPr>
                </pic:pic>
              </a:graphicData>
            </a:graphic>
            <wp14:sizeRelH relativeFrom="margin">
              <wp14:pctWidth>0</wp14:pctWidth>
            </wp14:sizeRelH>
          </wp:anchor>
        </w:drawing>
      </w:r>
    </w:p>
    <w:sectPr w:rsidR="007B1A84">
      <w:pgSz w:w="11910" w:h="16840"/>
      <w:pgMar w:top="1480" w:right="992" w:bottom="1340" w:left="1417" w:header="0" w:footer="11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02D12" w14:textId="77777777" w:rsidR="007B1A84" w:rsidRDefault="002A0261">
      <w:r>
        <w:separator/>
      </w:r>
    </w:p>
  </w:endnote>
  <w:endnote w:type="continuationSeparator" w:id="0">
    <w:p w14:paraId="46CC86A0" w14:textId="77777777" w:rsidR="007B1A84" w:rsidRDefault="002A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3426F" w14:textId="77777777" w:rsidR="007B1A84" w:rsidRDefault="002A0261">
    <w:pPr>
      <w:pStyle w:val="P68B1DB1-a311"/>
      <w:spacing w:line="14" w:lineRule="auto"/>
    </w:pPr>
    <w:r>
      <w:rPr>
        <w:noProof/>
      </w:rPr>
      <mc:AlternateContent>
        <mc:Choice Requires="wps">
          <w:drawing>
            <wp:anchor distT="0" distB="0" distL="0" distR="0" simplePos="0" relativeHeight="486569472" behindDoc="1" locked="0" layoutInCell="1" allowOverlap="1" wp14:anchorId="58E85877" wp14:editId="6496B7AA">
              <wp:simplePos x="0" y="0"/>
              <wp:positionH relativeFrom="page">
                <wp:posOffset>6508368</wp:posOffset>
              </wp:positionH>
              <wp:positionV relativeFrom="page">
                <wp:posOffset>9813735</wp:posOffset>
              </wp:positionV>
              <wp:extent cx="206375" cy="173355"/>
              <wp:effectExtent l="0" t="0" r="0" b="0"/>
              <wp:wrapNone/>
              <wp:docPr id="1" name="Πλαίσιο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73355"/>
                      </a:xfrm>
                      <a:prstGeom prst="rect">
                        <a:avLst/>
                      </a:prstGeom>
                    </wps:spPr>
                    <wps:txbx>
                      <w:txbxContent>
                        <w:p w14:paraId="0510E29B" w14:textId="77777777" w:rsidR="007B1A84" w:rsidRDefault="002A0261">
                          <w:pPr>
                            <w:pStyle w:val="BodyText"/>
                            <w:spacing w:before="11"/>
                            <w:ind w:left="20"/>
                          </w:pPr>
                          <w: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58E85877" id="_x0000_t202" coordsize="21600,21600" o:spt="202" path="m,l,21600r21600,l21600,xe">
              <v:stroke joinstyle="miter"/>
              <v:path gradientshapeok="t" o:connecttype="rect"/>
            </v:shapetype>
            <v:shape id="Πλαίσιο 1" o:spid="_x0000_s1026" type="#_x0000_t202" style="position:absolute;margin-left:512.45pt;margin-top:772.75pt;width:16.25pt;height:13.65pt;z-index:-1674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" filled="f" stroked="f">
              <v:textbox inset="0,0,0,0">
                <w:txbxContent>
                  <w:p w14:paraId="0510E29B" w14:textId="77777777" w:rsidR="007B1A84" w:rsidRDefault="002A0261">
                    <w:pPr>
                      <w:pStyle w:val="BodyText"/>
                      <w:spacing w:before="11"/>
                      <w:ind w:left="20"/>
                    </w:pPr>
                    <w: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F461A" w14:textId="77777777" w:rsidR="007B1A84" w:rsidRDefault="002A0261">
      <w:r>
        <w:separator/>
      </w:r>
    </w:p>
  </w:footnote>
  <w:footnote w:type="continuationSeparator" w:id="0">
    <w:p w14:paraId="561A9689" w14:textId="77777777" w:rsidR="007B1A84" w:rsidRDefault="002A0261">
      <w:r>
        <w:continuationSeparator/>
      </w:r>
    </w:p>
  </w:footnote>
  <w:footnote w:id="1">
    <w:p w14:paraId="1817D8DB" w14:textId="4C1E5AA4" w:rsidR="00080FFE" w:rsidRPr="00080FFE" w:rsidRDefault="00080FFE" w:rsidP="00935CAC">
      <w:pPr>
        <w:spacing w:after="120"/>
        <w:ind w:left="25" w:right="428"/>
        <w:rPr>
          <w:lang w:val="el-GR"/>
        </w:rPr>
      </w:pPr>
      <w:r>
        <w:rPr>
          <w:rStyle w:val="FootnoteReference"/>
        </w:rPr>
        <w:footnoteRef/>
      </w:r>
      <w:r>
        <w:t xml:space="preserve"> </w:t>
      </w:r>
      <w:r>
        <w:rPr>
          <w:sz w:val="17"/>
        </w:rPr>
        <w:t xml:space="preserve">Ευρωπαϊκή Επιτροπή, Γενική Διεύθυνση Περιβάλλοντος, Dubois, M., Sims, E., Moerman, T. et al., </w:t>
      </w:r>
      <w:r>
        <w:rPr>
          <w:rFonts w:ascii="Arial"/>
          <w:i/>
          <w:sz w:val="17"/>
        </w:rPr>
        <w:t>Guidance for separate collection of city waste</w:t>
      </w:r>
      <w:r>
        <w:rPr>
          <w:sz w:val="17"/>
        </w:rPr>
        <w:t xml:space="preserve">, Υπηρεσία Εκδόσεων, 2020, </w:t>
      </w:r>
      <w:r>
        <w:fldChar w:fldCharType="begin"/>
      </w:r>
      <w:r>
        <w:instrText>HYPERLINK "https://data.europa.eu/doi/10.2779/691513" \h</w:instrText>
      </w:r>
      <w:r>
        <w:fldChar w:fldCharType="separate"/>
      </w:r>
      <w:r>
        <w:rPr>
          <w:color w:val="0D46CA"/>
          <w:sz w:val="17"/>
          <w:u w:val="single" w:color="0D46CA"/>
        </w:rPr>
        <w:t>https://data.europa.eu/doi/10.2779/691513</w:t>
      </w:r>
      <w:r>
        <w:fldChar w:fldCharType="end"/>
      </w:r>
      <w:r w:rsidR="00935CAC">
        <w:rPr>
          <w:lang w:val="el-GR"/>
        </w:rPr>
        <w:t xml:space="preserve"> </w:t>
      </w:r>
    </w:p>
  </w:footnote>
  <w:footnote w:id="2">
    <w:p w14:paraId="098257CE" w14:textId="7C42C98A" w:rsidR="00935CAC" w:rsidRPr="00935CAC" w:rsidRDefault="00935CAC">
      <w:pPr>
        <w:pStyle w:val="FootnoteText"/>
        <w:rPr>
          <w:lang w:val="el-GR"/>
        </w:rPr>
      </w:pPr>
      <w:r>
        <w:rPr>
          <w:rStyle w:val="FootnoteReference"/>
        </w:rPr>
        <w:footnoteRef/>
      </w:r>
      <w:r>
        <w:t xml:space="preserve"> </w:t>
      </w:r>
      <w:r>
        <w:rPr>
          <w:sz w:val="17"/>
        </w:rPr>
        <w:t>Τροποποιήσεις με τον κανονισμό (ΕΕ) 2023/1315 της Επιτροπής, της 23ης Ιουνίου 2023</w:t>
      </w:r>
    </w:p>
  </w:footnote>
  <w:footnote w:id="3">
    <w:p w14:paraId="10AAE032" w14:textId="7C8FF99F" w:rsidR="003660FE" w:rsidRPr="003660FE" w:rsidRDefault="003660FE" w:rsidP="003660FE">
      <w:pPr>
        <w:pStyle w:val="P68B1DB1-a16"/>
        <w:spacing w:after="120"/>
        <w:ind w:left="25"/>
        <w:jc w:val="both"/>
      </w:pPr>
      <w:r>
        <w:rPr>
          <w:rStyle w:val="FootnoteReference"/>
        </w:rPr>
        <w:footnoteRef/>
      </w:r>
      <w:r>
        <w:t xml:space="preserve"> </w:t>
      </w:r>
      <w:r>
        <w:t xml:space="preserve">Απόφαση του Δικαστηρίου της 24ης Ιουλίου 2003 στην υπόθεση C-280/00 — </w:t>
      </w:r>
      <w:r>
        <w:rPr>
          <w:rFonts w:ascii="Arial" w:hAnsi="Arial"/>
          <w:i/>
        </w:rPr>
        <w:t>Altmark Trans GmbH και Regierungspräsidium Magdeburg κατά Nahverkehrsgesellschaft Altmark GmbH και Oberbundesanwalt beim Bundesverwaltungsgericht</w:t>
      </w:r>
      <w:r>
        <w:rPr>
          <w:rFonts w:ascii="Arial" w:hAnsi="Arial"/>
          <w:i/>
          <w:lang w:val="el-GR"/>
        </w:rPr>
        <w:t xml:space="preserve"> </w:t>
      </w:r>
      <w:hyperlink r:id="rId1">
        <w:r>
          <w:t>https://eur-lex.europa.eu/legal-content/EN/ALL/?uri=CELEX:62000CJ0280</w:t>
        </w:r>
      </w:hyperlink>
      <w:r>
        <w:rPr>
          <w:lang w:val="el-GR"/>
        </w:rPr>
        <w:t xml:space="preserve"> </w:t>
      </w:r>
    </w:p>
  </w:footnote>
  <w:footnote w:id="4">
    <w:p w14:paraId="49AA9ED1" w14:textId="277D0059" w:rsidR="003660FE" w:rsidRPr="003660FE" w:rsidRDefault="003660FE" w:rsidP="003660FE">
      <w:pPr>
        <w:spacing w:after="120"/>
        <w:ind w:left="25"/>
        <w:rPr>
          <w:lang w:val="en-US"/>
        </w:rPr>
      </w:pPr>
      <w:r>
        <w:rPr>
          <w:rStyle w:val="FootnoteReference"/>
        </w:rPr>
        <w:footnoteRef/>
      </w:r>
      <w:r>
        <w:t xml:space="preserve"> </w:t>
      </w:r>
      <w:r>
        <w:rPr>
          <w:sz w:val="17"/>
        </w:rPr>
        <w:t>2012/21/ΕΕ: Απόφαση της Επιτροπής, της 20ής Δεκεμβρίου 2011, για την εφαρμογή του άρθρου 106 παράγραφος 2 της Συνθήκης για τη λειτουργία της Ευρωπαϊκής Ένωσης στις κρατικές ενισχύσεις υπό μορφή αντιστάθμισης για την παροχή δημόσιας υπηρεσίας που χορηγούνται σε ορισμένες επιχειρήσεις επιφορτισμένες με τη διαχείριση υπηρεσιών γενικού οικονομικού συμφέροντος (2012/21/ΕΕ).</w:t>
      </w:r>
      <w:r>
        <w:rPr>
          <w:sz w:val="17"/>
          <w:lang w:val="el-GR"/>
        </w:rPr>
        <w:t xml:space="preserve"> </w:t>
      </w:r>
      <w:r>
        <w:fldChar w:fldCharType="begin"/>
      </w:r>
      <w:r w:rsidRPr="00E37F8E">
        <w:rPr>
          <w:lang w:val="en-US"/>
        </w:rPr>
        <w:instrText>HYPERLINK "https://eur-lex.europa.eu/legal-content/EN/ALL/?uri=CELEX%3A32012D0021" \h</w:instrText>
      </w:r>
      <w:r>
        <w:fldChar w:fldCharType="separate"/>
      </w:r>
      <w:r w:rsidRPr="00E37F8E">
        <w:rPr>
          <w:color w:val="0000FF"/>
          <w:sz w:val="17"/>
          <w:u w:val="single" w:color="0000FF"/>
          <w:lang w:val="en-US"/>
        </w:rPr>
        <w:t>https://eur-lex.europa.eu/legal-</w:t>
      </w:r>
      <w:r>
        <w:rPr>
          <w:color w:val="0000FF"/>
          <w:spacing w:val="-2"/>
          <w:sz w:val="17"/>
          <w:u w:val="single" w:color="0000FF"/>
        </w:rPr>
        <w:t>περιεχόμενο</w:t>
      </w:r>
      <w:r w:rsidRPr="00E37F8E">
        <w:rPr>
          <w:color w:val="0000FF"/>
          <w:spacing w:val="-2"/>
          <w:sz w:val="17"/>
          <w:u w:val="single" w:color="0000FF"/>
          <w:lang w:val="en-US"/>
        </w:rPr>
        <w:t>/EN/ALL/?</w:t>
      </w:r>
      <w:proofErr w:type="spellStart"/>
      <w:r w:rsidRPr="00E37F8E">
        <w:rPr>
          <w:color w:val="0000FF"/>
          <w:spacing w:val="-2"/>
          <w:sz w:val="17"/>
          <w:u w:val="single" w:color="0000FF"/>
          <w:lang w:val="en-US"/>
        </w:rPr>
        <w:t>uri</w:t>
      </w:r>
      <w:proofErr w:type="spellEnd"/>
      <w:r w:rsidRPr="00E37F8E">
        <w:rPr>
          <w:color w:val="0000FF"/>
          <w:spacing w:val="-2"/>
          <w:sz w:val="17"/>
          <w:u w:val="single" w:color="0000FF"/>
          <w:lang w:val="en-US"/>
        </w:rPr>
        <w:t>=CELEX% 3A32012D0021</w:t>
      </w:r>
      <w:r>
        <w:fldChar w:fldCharType="end"/>
      </w:r>
      <w:r w:rsidRPr="003660FE">
        <w:rPr>
          <w:lang w:val="en-US"/>
        </w:rPr>
        <w:t xml:space="preserve"> </w:t>
      </w:r>
    </w:p>
  </w:footnote>
  <w:footnote w:id="5">
    <w:p w14:paraId="6EB67CAA" w14:textId="57F7269F" w:rsidR="003660FE" w:rsidRPr="000A0FFC" w:rsidRDefault="003660FE" w:rsidP="000A0FFC">
      <w:pPr>
        <w:spacing w:after="120"/>
        <w:ind w:left="25"/>
        <w:rPr>
          <w:lang w:val="en-US"/>
        </w:rPr>
      </w:pPr>
      <w:r>
        <w:rPr>
          <w:rStyle w:val="FootnoteReference"/>
        </w:rPr>
        <w:footnoteRef/>
      </w:r>
      <w:r>
        <w:t xml:space="preserve"> </w:t>
      </w:r>
      <w:r>
        <w:rPr>
          <w:sz w:val="17"/>
        </w:rPr>
        <w:t>Ανακοίνωση της Επιτροπής — Πλαίσιο της Ευρωπαϊκής Ένωσης για τις κρατικές ενισχύσεις υπό μορφή αντιστάθμισης για την παροχή δημόσιας υπηρεσίας (2011) (2012/C 8/03).</w:t>
      </w:r>
      <w:r>
        <w:rPr>
          <w:sz w:val="17"/>
          <w:lang w:val="el-GR"/>
        </w:rPr>
        <w:t xml:space="preserve"> </w:t>
      </w:r>
      <w:bookmarkStart w:id="6" w:name="_bookmark11"/>
      <w:bookmarkEnd w:id="6"/>
      <w:r w:rsidR="000A0FFC">
        <w:rPr>
          <w:color w:val="0000FF"/>
          <w:sz w:val="17"/>
          <w:u w:val="single" w:color="0000FF"/>
          <w:lang w:val="en-US"/>
        </w:rPr>
        <w:fldChar w:fldCharType="begin"/>
      </w:r>
      <w:r w:rsidR="000A0FFC">
        <w:rPr>
          <w:color w:val="0000FF"/>
          <w:sz w:val="17"/>
          <w:u w:val="single" w:color="0000FF"/>
          <w:lang w:val="en-US"/>
        </w:rPr>
        <w:instrText>HYPERLINK "</w:instrText>
      </w:r>
      <w:r w:rsidR="000A0FFC" w:rsidRPr="003660FE">
        <w:rPr>
          <w:color w:val="0000FF"/>
          <w:sz w:val="17"/>
          <w:u w:val="single" w:color="0000FF"/>
          <w:lang w:val="en-US"/>
        </w:rPr>
        <w:instrText>https</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eur</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lex</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europa</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eu</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legal</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content</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EN</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ALL</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uri</w:instrText>
      </w:r>
      <w:r w:rsidR="000A0FFC" w:rsidRPr="000A0FFC">
        <w:rPr>
          <w:color w:val="0000FF"/>
          <w:sz w:val="17"/>
          <w:u w:val="single" w:color="0000FF"/>
          <w:lang w:val="el-GR"/>
        </w:rPr>
        <w:instrText>=</w:instrText>
      </w:r>
      <w:r w:rsidR="000A0FFC" w:rsidRPr="003660FE">
        <w:rPr>
          <w:color w:val="0000FF"/>
          <w:sz w:val="17"/>
          <w:u w:val="single" w:color="0000FF"/>
          <w:lang w:val="en-US"/>
        </w:rPr>
        <w:instrText>CELEX</w:instrText>
      </w:r>
      <w:r w:rsidR="000A0FFC" w:rsidRPr="000A0FFC">
        <w:rPr>
          <w:color w:val="0000FF"/>
          <w:sz w:val="17"/>
          <w:u w:val="single" w:color="0000FF"/>
          <w:lang w:val="el-GR"/>
        </w:rPr>
        <w:instrText>%3</w:instrText>
      </w:r>
      <w:r w:rsidR="000A0FFC" w:rsidRPr="003660FE">
        <w:rPr>
          <w:color w:val="0000FF"/>
          <w:sz w:val="17"/>
          <w:u w:val="single" w:color="0000FF"/>
          <w:lang w:val="en-US"/>
        </w:rPr>
        <w:instrText>A</w:instrText>
      </w:r>
      <w:r w:rsidR="000A0FFC" w:rsidRPr="000A0FFC">
        <w:rPr>
          <w:color w:val="0000FF"/>
          <w:sz w:val="17"/>
          <w:u w:val="single" w:color="0000FF"/>
          <w:lang w:val="el-GR"/>
        </w:rPr>
        <w:instrText>52012</w:instrText>
      </w:r>
      <w:r w:rsidR="000A0FFC" w:rsidRPr="003660FE">
        <w:rPr>
          <w:color w:val="0000FF"/>
          <w:sz w:val="17"/>
          <w:u w:val="single" w:color="0000FF"/>
          <w:lang w:val="en-US"/>
        </w:rPr>
        <w:instrText>XC</w:instrText>
      </w:r>
      <w:r w:rsidR="000A0FFC" w:rsidRPr="000A0FFC">
        <w:rPr>
          <w:color w:val="0000FF"/>
          <w:sz w:val="17"/>
          <w:u w:val="single" w:color="0000FF"/>
          <w:lang w:val="el-GR"/>
        </w:rPr>
        <w:instrText>0111%2803%29</w:instrText>
      </w:r>
      <w:r w:rsidR="000A0FFC">
        <w:rPr>
          <w:color w:val="0000FF"/>
          <w:sz w:val="17"/>
          <w:u w:val="single" w:color="0000FF"/>
          <w:lang w:val="en-US"/>
        </w:rPr>
        <w:instrText>"</w:instrText>
      </w:r>
      <w:r w:rsidR="000A0FFC">
        <w:rPr>
          <w:color w:val="0000FF"/>
          <w:sz w:val="17"/>
          <w:u w:val="single" w:color="0000FF"/>
          <w:lang w:val="en-US"/>
        </w:rPr>
        <w:fldChar w:fldCharType="separate"/>
      </w:r>
      <w:r w:rsidR="000A0FFC" w:rsidRPr="00AC49B9">
        <w:rPr>
          <w:rStyle w:val="Hyperlink"/>
          <w:sz w:val="17"/>
          <w:lang w:val="en-US"/>
        </w:rPr>
        <w:t>https</w:t>
      </w:r>
      <w:r w:rsidR="000A0FFC" w:rsidRPr="000A0FFC">
        <w:rPr>
          <w:rStyle w:val="Hyperlink"/>
          <w:sz w:val="17"/>
          <w:lang w:val="en-US"/>
        </w:rPr>
        <w:t>://</w:t>
      </w:r>
      <w:r w:rsidR="000A0FFC" w:rsidRPr="00AC49B9">
        <w:rPr>
          <w:rStyle w:val="Hyperlink"/>
          <w:sz w:val="17"/>
          <w:lang w:val="en-US"/>
        </w:rPr>
        <w:t>eur</w:t>
      </w:r>
      <w:r w:rsidR="000A0FFC" w:rsidRPr="000A0FFC">
        <w:rPr>
          <w:rStyle w:val="Hyperlink"/>
          <w:sz w:val="17"/>
          <w:lang w:val="en-US"/>
        </w:rPr>
        <w:t>-</w:t>
      </w:r>
      <w:r w:rsidR="000A0FFC" w:rsidRPr="00AC49B9">
        <w:rPr>
          <w:rStyle w:val="Hyperlink"/>
          <w:sz w:val="17"/>
          <w:lang w:val="en-US"/>
        </w:rPr>
        <w:t>lex</w:t>
      </w:r>
      <w:r w:rsidR="000A0FFC" w:rsidRPr="000A0FFC">
        <w:rPr>
          <w:rStyle w:val="Hyperlink"/>
          <w:sz w:val="17"/>
          <w:lang w:val="en-US"/>
        </w:rPr>
        <w:t>.</w:t>
      </w:r>
      <w:r w:rsidR="000A0FFC" w:rsidRPr="00AC49B9">
        <w:rPr>
          <w:rStyle w:val="Hyperlink"/>
          <w:sz w:val="17"/>
          <w:lang w:val="en-US"/>
        </w:rPr>
        <w:t>europa</w:t>
      </w:r>
      <w:r w:rsidR="000A0FFC" w:rsidRPr="000A0FFC">
        <w:rPr>
          <w:rStyle w:val="Hyperlink"/>
          <w:sz w:val="17"/>
          <w:lang w:val="en-US"/>
        </w:rPr>
        <w:t>.</w:t>
      </w:r>
      <w:r w:rsidR="000A0FFC" w:rsidRPr="00AC49B9">
        <w:rPr>
          <w:rStyle w:val="Hyperlink"/>
          <w:sz w:val="17"/>
          <w:lang w:val="en-US"/>
        </w:rPr>
        <w:t>eu</w:t>
      </w:r>
      <w:r w:rsidR="000A0FFC" w:rsidRPr="000A0FFC">
        <w:rPr>
          <w:rStyle w:val="Hyperlink"/>
          <w:sz w:val="17"/>
          <w:lang w:val="en-US"/>
        </w:rPr>
        <w:t>/</w:t>
      </w:r>
      <w:r w:rsidR="000A0FFC" w:rsidRPr="00AC49B9">
        <w:rPr>
          <w:rStyle w:val="Hyperlink"/>
          <w:sz w:val="17"/>
          <w:lang w:val="en-US"/>
        </w:rPr>
        <w:t>legal</w:t>
      </w:r>
      <w:r w:rsidR="000A0FFC" w:rsidRPr="000A0FFC">
        <w:rPr>
          <w:rStyle w:val="Hyperlink"/>
          <w:sz w:val="17"/>
          <w:lang w:val="en-US"/>
        </w:rPr>
        <w:t>-</w:t>
      </w:r>
      <w:r w:rsidR="000A0FFC" w:rsidRPr="00AC49B9">
        <w:rPr>
          <w:rStyle w:val="Hyperlink"/>
          <w:sz w:val="17"/>
          <w:lang w:val="en-US"/>
        </w:rPr>
        <w:t>content</w:t>
      </w:r>
      <w:r w:rsidR="000A0FFC" w:rsidRPr="000A0FFC">
        <w:rPr>
          <w:rStyle w:val="Hyperlink"/>
          <w:sz w:val="17"/>
          <w:lang w:val="en-US"/>
        </w:rPr>
        <w:t>/</w:t>
      </w:r>
      <w:r w:rsidR="000A0FFC" w:rsidRPr="00AC49B9">
        <w:rPr>
          <w:rStyle w:val="Hyperlink"/>
          <w:sz w:val="17"/>
          <w:lang w:val="en-US"/>
        </w:rPr>
        <w:t>EN</w:t>
      </w:r>
      <w:r w:rsidR="000A0FFC" w:rsidRPr="000A0FFC">
        <w:rPr>
          <w:rStyle w:val="Hyperlink"/>
          <w:sz w:val="17"/>
          <w:lang w:val="en-US"/>
        </w:rPr>
        <w:t>/</w:t>
      </w:r>
      <w:r w:rsidR="000A0FFC" w:rsidRPr="00AC49B9">
        <w:rPr>
          <w:rStyle w:val="Hyperlink"/>
          <w:sz w:val="17"/>
          <w:lang w:val="en-US"/>
        </w:rPr>
        <w:t>ALL</w:t>
      </w:r>
      <w:r w:rsidR="000A0FFC" w:rsidRPr="000A0FFC">
        <w:rPr>
          <w:rStyle w:val="Hyperlink"/>
          <w:sz w:val="17"/>
          <w:lang w:val="en-US"/>
        </w:rPr>
        <w:t>/?</w:t>
      </w:r>
      <w:r w:rsidR="000A0FFC" w:rsidRPr="00AC49B9">
        <w:rPr>
          <w:rStyle w:val="Hyperlink"/>
          <w:sz w:val="17"/>
          <w:lang w:val="en-US"/>
        </w:rPr>
        <w:t>uri</w:t>
      </w:r>
      <w:r w:rsidR="000A0FFC" w:rsidRPr="000A0FFC">
        <w:rPr>
          <w:rStyle w:val="Hyperlink"/>
          <w:sz w:val="17"/>
          <w:lang w:val="en-US"/>
        </w:rPr>
        <w:t>=</w:t>
      </w:r>
      <w:r w:rsidR="000A0FFC" w:rsidRPr="00AC49B9">
        <w:rPr>
          <w:rStyle w:val="Hyperlink"/>
          <w:sz w:val="17"/>
          <w:lang w:val="en-US"/>
        </w:rPr>
        <w:t>CELEX</w:t>
      </w:r>
      <w:r w:rsidR="000A0FFC" w:rsidRPr="000A0FFC">
        <w:rPr>
          <w:rStyle w:val="Hyperlink"/>
          <w:sz w:val="17"/>
          <w:lang w:val="en-US"/>
        </w:rPr>
        <w:t>%3</w:t>
      </w:r>
      <w:r w:rsidR="000A0FFC" w:rsidRPr="00AC49B9">
        <w:rPr>
          <w:rStyle w:val="Hyperlink"/>
          <w:sz w:val="17"/>
          <w:lang w:val="en-US"/>
        </w:rPr>
        <w:t>A</w:t>
      </w:r>
      <w:r w:rsidR="000A0FFC" w:rsidRPr="000A0FFC">
        <w:rPr>
          <w:rStyle w:val="Hyperlink"/>
          <w:sz w:val="17"/>
          <w:lang w:val="en-US"/>
        </w:rPr>
        <w:t>52012</w:t>
      </w:r>
      <w:r w:rsidR="000A0FFC" w:rsidRPr="00AC49B9">
        <w:rPr>
          <w:rStyle w:val="Hyperlink"/>
          <w:sz w:val="17"/>
          <w:lang w:val="en-US"/>
        </w:rPr>
        <w:t>XC</w:t>
      </w:r>
      <w:r w:rsidR="000A0FFC" w:rsidRPr="000A0FFC">
        <w:rPr>
          <w:rStyle w:val="Hyperlink"/>
          <w:sz w:val="17"/>
          <w:lang w:val="en-US"/>
        </w:rPr>
        <w:t>0111%2803%29</w:t>
      </w:r>
      <w:r w:rsidR="000A0FFC">
        <w:rPr>
          <w:color w:val="0000FF"/>
          <w:sz w:val="17"/>
          <w:u w:val="single" w:color="0000FF"/>
          <w:lang w:val="en-US"/>
        </w:rPr>
        <w:fldChar w:fldCharType="end"/>
      </w:r>
      <w:r w:rsidR="000A0FFC">
        <w:rPr>
          <w:color w:val="0000FF"/>
          <w:sz w:val="17"/>
          <w:u w:val="single" w:color="0000FF"/>
          <w:lang w:val="en-GB"/>
        </w:rPr>
        <w:t xml:space="preserve"> </w:t>
      </w:r>
    </w:p>
  </w:footnote>
  <w:footnote w:id="6">
    <w:p w14:paraId="16C4D4C3" w14:textId="70FA2A34" w:rsidR="000A0FFC" w:rsidRPr="000A0FFC" w:rsidRDefault="000A0FFC" w:rsidP="000A0FFC">
      <w:pPr>
        <w:spacing w:after="120"/>
        <w:ind w:left="25" w:right="626"/>
      </w:pPr>
      <w:r>
        <w:rPr>
          <w:rStyle w:val="FootnoteReference"/>
        </w:rPr>
        <w:footnoteRef/>
      </w:r>
      <w:r>
        <w:t xml:space="preserve"> </w:t>
      </w:r>
      <w:r>
        <w:rPr>
          <w:sz w:val="17"/>
        </w:rPr>
        <w:t>Κατευθυντήριες γραμμές για τις περιφερειακές ενισχύσεις. Ισχύουσες κατευθυντήριες γραμμές σχετικά με τις κρατικές ενισχύσεις περιφερειακού χαρακτήρα για την περίοδο 2022-2027 (2021/C 153/01)</w:t>
      </w:r>
      <w:bookmarkStart w:id="7" w:name="_bookmark12"/>
      <w:bookmarkEnd w:id="7"/>
      <w:r>
        <w:rPr>
          <w:color w:val="0000FF"/>
          <w:sz w:val="17"/>
          <w:u w:val="single" w:color="0000FF"/>
        </w:rPr>
        <w:t xml:space="preserve">. </w:t>
      </w:r>
      <w:r>
        <w:rPr>
          <w:color w:val="0000FF"/>
          <w:sz w:val="17"/>
          <w:u w:val="single" w:color="0000FF"/>
        </w:rPr>
        <w:fldChar w:fldCharType="begin"/>
      </w:r>
      <w:r>
        <w:rPr>
          <w:color w:val="0000FF"/>
          <w:sz w:val="17"/>
          <w:u w:val="single" w:color="0000FF"/>
        </w:rPr>
        <w:instrText>HYPERLINK "</w:instrText>
      </w:r>
      <w:r>
        <w:rPr>
          <w:color w:val="0000FF"/>
          <w:sz w:val="17"/>
          <w:u w:val="single" w:color="0000FF"/>
        </w:rPr>
        <w:instrText>https://eur-lex.europa.eu/legal-content/EN/TXT/?uri=CELEX:52021XC0429(01)</w:instrText>
      </w:r>
      <w:r>
        <w:rPr>
          <w:color w:val="0000FF"/>
          <w:sz w:val="17"/>
          <w:u w:val="single" w:color="0000FF"/>
        </w:rPr>
        <w:instrText>"</w:instrText>
      </w:r>
      <w:r>
        <w:rPr>
          <w:color w:val="0000FF"/>
          <w:sz w:val="17"/>
          <w:u w:val="single" w:color="0000FF"/>
        </w:rPr>
        <w:fldChar w:fldCharType="separate"/>
      </w:r>
      <w:r w:rsidRPr="00AC49B9">
        <w:rPr>
          <w:rStyle w:val="Hyperlink"/>
          <w:sz w:val="17"/>
        </w:rPr>
        <w:t>https://eur-lex.europa.eu/legal-content/EN/TXT/?uri=CELEX:52021XC0429(01)</w:t>
      </w:r>
      <w:r>
        <w:rPr>
          <w:color w:val="0000FF"/>
          <w:sz w:val="17"/>
          <w:u w:val="single" w:color="0000FF"/>
        </w:rPr>
        <w:fldChar w:fldCharType="end"/>
      </w:r>
      <w:r w:rsidRPr="000A0FFC">
        <w:rPr>
          <w:color w:val="0000FF"/>
          <w:sz w:val="17"/>
          <w:u w:val="single" w:color="0000FF"/>
        </w:rPr>
        <w:t xml:space="preserve"> </w:t>
      </w:r>
    </w:p>
  </w:footnote>
  <w:footnote w:id="7">
    <w:p w14:paraId="4C7606A6" w14:textId="64D3ABD0" w:rsidR="000A0FFC" w:rsidRPr="000A0FFC" w:rsidRDefault="000A0FFC" w:rsidP="000A0FFC">
      <w:pPr>
        <w:spacing w:after="120"/>
        <w:ind w:left="25"/>
      </w:pPr>
      <w:r>
        <w:rPr>
          <w:rStyle w:val="FootnoteReference"/>
        </w:rPr>
        <w:footnoteRef/>
      </w:r>
      <w:r>
        <w:t xml:space="preserve"> </w:t>
      </w:r>
      <w:r>
        <w:rPr>
          <w:sz w:val="17"/>
        </w:rPr>
        <w:t>Γενικός κανονισμός απαλλαγής κατά κατηγορία: Κανονισμός (ΕΕ) αριθ. 651/2014 της Επιτροπής, της 17ης Ιουνίου 2014, για τη δήλωση</w:t>
      </w:r>
      <w:r w:rsidRPr="000A0FFC">
        <w:rPr>
          <w:sz w:val="17"/>
        </w:rPr>
        <w:t xml:space="preserve"> ορισμένες κατηγορίες ενισχύσεων που συμβιβάζονται με την εσωτερική αγορά κατ’ εφαρμογή των άρθρων 107 και 108 της Συνθήκης. </w:t>
      </w:r>
      <w:r>
        <w:rPr>
          <w:sz w:val="17"/>
        </w:rPr>
        <w:fldChar w:fldCharType="begin"/>
      </w:r>
      <w:r>
        <w:rPr>
          <w:sz w:val="17"/>
        </w:rPr>
        <w:instrText>HYPERLINK "</w:instrText>
      </w:r>
      <w:r w:rsidRPr="000A0FFC">
        <w:rPr>
          <w:sz w:val="17"/>
        </w:rPr>
        <w:instrText>https://eur-lex.europa.eu/legal-content/EN/TXT/?uri=CELEX%3A02014R0651-20230701</w:instrText>
      </w:r>
      <w:r>
        <w:rPr>
          <w:sz w:val="17"/>
        </w:rPr>
        <w:instrText>"</w:instrText>
      </w:r>
      <w:r>
        <w:rPr>
          <w:sz w:val="17"/>
        </w:rPr>
        <w:fldChar w:fldCharType="separate"/>
      </w:r>
      <w:r w:rsidRPr="00AC49B9">
        <w:rPr>
          <w:rStyle w:val="Hyperlink"/>
          <w:sz w:val="17"/>
        </w:rPr>
        <w:t>https://eur-lex.europa.eu/legal-content/EN/TXT/?uri=CELEX%3A02014R0651-20230701</w:t>
      </w:r>
      <w:r>
        <w:rPr>
          <w:sz w:val="17"/>
        </w:rPr>
        <w:fldChar w:fldCharType="end"/>
      </w:r>
      <w:r w:rsidRPr="000A0FFC">
        <w:rPr>
          <w:sz w:val="17"/>
          <w:lang w:val="el-GR"/>
        </w:rPr>
        <w:t xml:space="preserve"> </w:t>
      </w:r>
      <w:r w:rsidRPr="000A0FFC">
        <w:rPr>
          <w:sz w:val="17"/>
        </w:rPr>
        <w:t xml:space="preserve">[ενοποιημένη </w:t>
      </w:r>
      <w:bookmarkStart w:id="8" w:name="_bookmark13"/>
      <w:bookmarkEnd w:id="8"/>
      <w:r w:rsidRPr="000A0FFC">
        <w:rPr>
          <w:sz w:val="17"/>
        </w:rPr>
        <w:t>έκδοση, σε ισχύ από 01/07/2023]</w:t>
      </w:r>
      <w:r w:rsidRPr="000A0FFC">
        <w:rPr>
          <w:sz w:val="17"/>
          <w:lang w:val="el-GR"/>
        </w:rPr>
        <w:t xml:space="preserve"> </w:t>
      </w:r>
    </w:p>
  </w:footnote>
  <w:footnote w:id="8">
    <w:p w14:paraId="43BFBCF2" w14:textId="66C09D5A" w:rsidR="000A0FFC" w:rsidRPr="000A0FFC" w:rsidRDefault="000A0FFC">
      <w:pPr>
        <w:pStyle w:val="FootnoteText"/>
        <w:rPr>
          <w:lang w:val="el-GR"/>
        </w:rPr>
      </w:pPr>
      <w:r>
        <w:rPr>
          <w:rStyle w:val="FootnoteReference"/>
        </w:rPr>
        <w:footnoteRef/>
      </w:r>
      <w:r>
        <w:t xml:space="preserve"> </w:t>
      </w:r>
      <w:r>
        <w:rPr>
          <w:sz w:val="17"/>
        </w:rPr>
        <w:t xml:space="preserve">Κατευθυντήριες γραμμές για τις κρατικές ενισχύσεις για το κλίμα, την προστασία του περιβάλλοντος και την ενέργεια 2022. </w:t>
      </w:r>
      <w:r>
        <w:fldChar w:fldCharType="begin"/>
      </w:r>
      <w:r>
        <w:instrText>HYPERLINK "https://eur-lex.europa.eu/legal-content/EN/TXT/?uri=uriserv%3AOJ.C_.2022.080.01.0001.01.ENG&amp;toc=OJ%3AC%3A2022%3A080%3ATOC" \h</w:instrText>
      </w:r>
      <w:r>
        <w:fldChar w:fldCharType="separate"/>
      </w:r>
      <w:r>
        <w:rPr>
          <w:color w:val="0000FF"/>
          <w:sz w:val="17"/>
          <w:u w:val="single" w:color="0000FF"/>
        </w:rPr>
        <w:t>EUR-Lex — 52022XC0218(03) -</w:t>
      </w:r>
      <w:r>
        <w:fldChar w:fldCharType="end"/>
      </w:r>
      <w:r>
        <w:rPr>
          <w:color w:val="0000FF"/>
          <w:sz w:val="17"/>
        </w:rPr>
        <w:t xml:space="preserve"> </w:t>
      </w:r>
      <w:hyperlink r:id="rId2">
        <w:r>
          <w:rPr>
            <w:color w:val="0000FF"/>
            <w:sz w:val="17"/>
            <w:u w:val="single" w:color="0000FF"/>
          </w:rPr>
          <w:t>EN — EUR-Lex (europa.eu)</w:t>
        </w:r>
      </w:hyperlink>
    </w:p>
  </w:footnote>
  <w:footnote w:id="9">
    <w:p w14:paraId="0A9281B5" w14:textId="09364046" w:rsidR="004539DD" w:rsidRPr="004539DD" w:rsidRDefault="004539DD">
      <w:pPr>
        <w:pStyle w:val="FootnoteText"/>
        <w:rPr>
          <w:lang w:val="el-GR"/>
        </w:rPr>
      </w:pPr>
      <w:r>
        <w:rPr>
          <w:rStyle w:val="FootnoteReference"/>
        </w:rPr>
        <w:footnoteRef/>
      </w:r>
      <w:r>
        <w:t xml:space="preserve"> </w:t>
      </w:r>
      <w:r>
        <w:rPr>
          <w:sz w:val="17"/>
        </w:rPr>
        <w:t xml:space="preserve">Για παράδειγμα, βλέπε πληροφορίες σχετικά με τις πηγές ενέργειας που παράγονται από τη </w:t>
      </w:r>
      <w:r w:rsidRPr="004539DD">
        <w:rPr>
          <w:rFonts w:ascii="Arial"/>
          <w:i/>
          <w:sz w:val="17"/>
          <w:lang w:val="en-US"/>
        </w:rPr>
        <w:t>SIA</w:t>
      </w:r>
      <w:r w:rsidRPr="004539DD">
        <w:rPr>
          <w:rFonts w:ascii="Arial"/>
          <w:i/>
          <w:sz w:val="17"/>
          <w:lang w:val="el-GR"/>
        </w:rPr>
        <w:t xml:space="preserve"> "</w:t>
      </w:r>
      <w:proofErr w:type="spellStart"/>
      <w:r w:rsidRPr="004539DD">
        <w:rPr>
          <w:rFonts w:ascii="Arial"/>
          <w:i/>
          <w:sz w:val="17"/>
          <w:lang w:val="en-US"/>
        </w:rPr>
        <w:t>Getlini</w:t>
      </w:r>
      <w:proofErr w:type="spellEnd"/>
      <w:r w:rsidRPr="004539DD">
        <w:rPr>
          <w:rFonts w:ascii="Arial"/>
          <w:i/>
          <w:sz w:val="17"/>
          <w:lang w:val="el-GR"/>
        </w:rPr>
        <w:t xml:space="preserve"> </w:t>
      </w:r>
      <w:r w:rsidRPr="004539DD">
        <w:rPr>
          <w:rFonts w:ascii="Arial"/>
          <w:i/>
          <w:sz w:val="17"/>
          <w:lang w:val="en-US"/>
        </w:rPr>
        <w:t>EKO</w:t>
      </w:r>
      <w:r w:rsidRPr="004539DD">
        <w:rPr>
          <w:rFonts w:ascii="Arial"/>
          <w:i/>
          <w:sz w:val="17"/>
          <w:lang w:val="el-GR"/>
        </w:rPr>
        <w:t xml:space="preserve"> </w:t>
      </w:r>
      <w:r>
        <w:rPr>
          <w:rFonts w:ascii="Arial"/>
          <w:i/>
          <w:sz w:val="17"/>
        </w:rPr>
        <w:t xml:space="preserve"> </w:t>
      </w:r>
      <w:r>
        <w:rPr>
          <w:sz w:val="17"/>
        </w:rPr>
        <w:t xml:space="preserve">στα διάφορα στάδια επεξεργασίας αποβλήτων &amp; </w:t>
      </w:r>
      <w:r>
        <w:fldChar w:fldCharType="begin"/>
      </w:r>
      <w:r>
        <w:instrText>HYPERLINK "https://www.getlini.lv/energijas-razosana/" \h</w:instrText>
      </w:r>
      <w:r>
        <w:fldChar w:fldCharType="separate"/>
      </w:r>
      <w:r>
        <w:rPr>
          <w:color w:val="0000FF"/>
          <w:sz w:val="17"/>
          <w:u w:val="single" w:color="0000FF"/>
        </w:rPr>
        <w:t>https://www.getlini.lv/energijas-razosan</w:t>
      </w:r>
      <w:r>
        <w:fldChar w:fldCharType="end"/>
      </w:r>
      <w:r>
        <w:rPr>
          <w:color w:val="0000FF"/>
          <w:sz w:val="17"/>
          <w:u w:val="single" w:color="0000FF"/>
        </w:rPr>
        <w:t>a/</w:t>
      </w:r>
      <w:r>
        <w:rPr>
          <w:color w:val="0000FF"/>
          <w:sz w:val="17"/>
        </w:rPr>
        <w:t xml:space="preserve"> </w:t>
      </w:r>
      <w:r>
        <w:rPr>
          <w:sz w:val="17"/>
        </w:rPr>
        <w:t>&gt;</w:t>
      </w:r>
    </w:p>
  </w:footnote>
  <w:footnote w:id="10">
    <w:p w14:paraId="1F41AEB0" w14:textId="1B5DB38F" w:rsidR="00D4056A" w:rsidRPr="00D4056A" w:rsidRDefault="00D4056A" w:rsidP="00D4056A">
      <w:pPr>
        <w:spacing w:after="120"/>
        <w:ind w:left="25" w:right="420"/>
        <w:jc w:val="both"/>
      </w:pPr>
      <w:r>
        <w:rPr>
          <w:rStyle w:val="FootnoteReference"/>
        </w:rPr>
        <w:footnoteRef/>
      </w:r>
      <w:r>
        <w:t xml:space="preserve"> </w:t>
      </w:r>
      <w:r>
        <w:rPr>
          <w:sz w:val="17"/>
        </w:rPr>
        <w:t xml:space="preserve">Για παράδειγμα, η Ολλανδία είναι πρωτοπόρος στην ανακύκλωση στην Ευρώπη. Βλ. πληροφορίες στην αξιολόγηση έγκαιρης προειδοποίησης σχετικά με τους στόχους του 2025 για τα αστικά απόβλητα και τα απορρίμματα συσκευασίας — Κάτω Χώρες (Ιούνιος 2022). Κατά συνέπεια, η αγορά διαθέτει επαρκή κίνητρα για την παροχή υπηρεσιών υπό τους όρους της αγοράς. Έκθεση αξιολόγησης διαθέσιμη μέσω του εργαλείου αναζήτησης στην ιστοσελίδα: </w:t>
      </w:r>
      <w:r>
        <w:fldChar w:fldCharType="begin"/>
      </w:r>
      <w:r>
        <w:instrText>HYPERLINK "https://www.eea.europa.eu/publications/many-eu-member-states/early-warning-assessment-related-to" \h</w:instrText>
      </w:r>
      <w:r>
        <w:fldChar w:fldCharType="separate"/>
      </w:r>
      <w:r>
        <w:rPr>
          <w:color w:val="0000FF"/>
          <w:sz w:val="17"/>
          <w:u w:val="single" w:color="0000FF"/>
        </w:rPr>
        <w:t>Αξιολόγηση έγκαιρης προειδοποίησης σχετικά με τους στόχους του 2025 για τα αστικά απόβλητα και</w:t>
      </w:r>
      <w:r>
        <w:fldChar w:fldCharType="end"/>
      </w:r>
      <w:r>
        <w:rPr>
          <w:color w:val="0000FF"/>
          <w:sz w:val="17"/>
        </w:rPr>
        <w:t xml:space="preserve"> </w:t>
      </w:r>
      <w:hyperlink r:id="rId3">
        <w:r>
          <w:rPr>
            <w:color w:val="0000FF"/>
            <w:sz w:val="17"/>
            <w:u w:val="single" w:color="0000FF"/>
          </w:rPr>
          <w:t>τα απορρίμματα συσκευασίας — Ευρωπαϊκός Οργανισμός Περιβάλλοντος (europa.e</w:t>
        </w:r>
      </w:hyperlink>
      <w:r>
        <w:rPr>
          <w:color w:val="0000FF"/>
          <w:sz w:val="17"/>
          <w:u w:val="single" w:color="0000FF"/>
        </w:rPr>
        <w:t>u)</w:t>
      </w:r>
      <w:r>
        <w:rPr>
          <w:color w:val="0000FF"/>
          <w:sz w:val="17"/>
        </w:rPr>
        <w:t xml:space="preserve"> </w:t>
      </w:r>
      <w:r>
        <w:rPr>
          <w:sz w:val="17"/>
        </w:rPr>
        <w:t>&gt;.</w:t>
      </w:r>
    </w:p>
  </w:footnote>
  <w:footnote w:id="11">
    <w:p w14:paraId="36D9107F" w14:textId="2226D3DE" w:rsidR="00D4056A" w:rsidRPr="00D4056A" w:rsidRDefault="00D4056A" w:rsidP="00D4056A">
      <w:pPr>
        <w:spacing w:after="120"/>
        <w:ind w:left="25" w:right="416"/>
        <w:jc w:val="both"/>
      </w:pPr>
      <w:r>
        <w:rPr>
          <w:rStyle w:val="FootnoteReference"/>
        </w:rPr>
        <w:footnoteRef/>
      </w:r>
      <w:r>
        <w:t xml:space="preserve"> </w:t>
      </w:r>
      <w:r>
        <w:rPr>
          <w:sz w:val="17"/>
        </w:rPr>
        <w:t xml:space="preserve">Παρέχει επισκόπηση ορισμένων από τα κύρια μέσα που χρησιμοποιούνται σε ολόκληρη την ΕΕ και των επιδόσεων των κρατών μελών όσον αφορά την επίτευξη των στόχων που έχουν τεθεί από οδηγίες στον τομέα της διαχείρισης αποβλήτων για τη βελτίωση της διαχείρισης των αστικών αποβλήτων. </w:t>
      </w:r>
      <w:r>
        <w:fldChar w:fldCharType="begin"/>
      </w:r>
      <w:r>
        <w:instrText>HYPERLINK "https://www.eea.europa.eu/publications/economic-instruments-and-separate-collection" \h</w:instrText>
      </w:r>
      <w:r>
        <w:fldChar w:fldCharType="separate"/>
      </w:r>
      <w:r>
        <w:rPr>
          <w:color w:val="0000FF"/>
          <w:sz w:val="17"/>
          <w:u w:val="single" w:color="0000FF"/>
        </w:rPr>
        <w:t>Οικονομικά μέσα και συστήματα χωριστής συλλογής — βασικές στρατηγικές για την αύξηση της ανακύκλωσης —</w:t>
      </w:r>
      <w:r>
        <w:fldChar w:fldCharType="end"/>
      </w:r>
      <w:r>
        <w:rPr>
          <w:color w:val="0000FF"/>
          <w:sz w:val="17"/>
        </w:rPr>
        <w:t xml:space="preserve"> </w:t>
      </w:r>
      <w:hyperlink r:id="rId4">
        <w:r>
          <w:rPr>
            <w:color w:val="0000FF"/>
            <w:sz w:val="17"/>
            <w:u w:val="single" w:color="0000FF"/>
          </w:rPr>
          <w:t>Ευρωπαϊκός Οργανισμός Περιβάλλοντος (europa.eu</w:t>
        </w:r>
      </w:hyperlink>
      <w:r>
        <w:rPr>
          <w:color w:val="0000FF"/>
          <w:sz w:val="17"/>
          <w:u w:val="single" w:color="0000FF"/>
        </w:rPr>
        <w:t>)</w:t>
      </w:r>
      <w:r>
        <w:rPr>
          <w:color w:val="0000FF"/>
          <w:sz w:val="17"/>
          <w:u w:val="single" w:color="0000FF"/>
          <w:lang w:val="el-GR"/>
        </w:rPr>
        <w:t xml:space="preserve"> </w:t>
      </w:r>
    </w:p>
  </w:footnote>
  <w:footnote w:id="12">
    <w:p w14:paraId="148543A9" w14:textId="77777777" w:rsidR="00D4056A" w:rsidRPr="00D4056A" w:rsidRDefault="00D4056A" w:rsidP="00D4056A">
      <w:pPr>
        <w:spacing w:after="120"/>
        <w:ind w:left="25" w:right="397"/>
        <w:jc w:val="both"/>
        <w:rPr>
          <w:sz w:val="17"/>
        </w:rPr>
      </w:pPr>
      <w:r>
        <w:rPr>
          <w:rStyle w:val="FootnoteReference"/>
        </w:rPr>
        <w:footnoteRef/>
      </w:r>
      <w:r>
        <w:t xml:space="preserve"> </w:t>
      </w:r>
      <w:r>
        <w:rPr>
          <w:sz w:val="17"/>
        </w:rPr>
        <w:t xml:space="preserve">Στις 23 Φεβρουαρίου 2024, η Ευρωπαϊκή Επιτροπή κίνησε διεξοδική έρευνα για τις κρατικές ενισχύσεις προκειμένου να αξιολογήσει κατά πόσον η αντιστάθμιση για την παροχή δημόσιας υπηρεσίας που χορηγήθηκε σε εταιρείες θαλάσσιων μεταφορών στη Γαλλία είναι σύμφωνη με τους κανόνες περί κρατικών ενισχύσεων (υπόθεση κρατικής ενίσχυσης SA.101557 — Desserte </w:t>
      </w:r>
      <w:r w:rsidRPr="00D4056A">
        <w:rPr>
          <w:sz w:val="17"/>
        </w:rPr>
        <w:t xml:space="preserve">maritime de la Corse </w:t>
      </w:r>
      <w:r>
        <w:rPr>
          <w:sz w:val="17"/>
        </w:rPr>
        <w:t xml:space="preserve">(2023-2030), Γαλλία). Τον Νοέμβριο του 2024, μετά την εμπεριστατωμένη έρευνα, κατά τη διάρκεια της οποίας η Γαλλία και τα ενδιαφερόμενα μέρη παρείχαν διευκρινίσεις στην Ευρωπαϊκή Επιτροπή σχετικά με τα ερωτήματα που έθεσε αρχικά η ΕΚ, η Επιτροπή κατέληξε στο συμπέρασμα ότι η αντιστάθμιση για την παροχή δημόσιας υπηρεσίας υπέρ της Corsica Linea και της La Méridionale είναι σύμφωνη με τους κανόνες της ΕΕ για τις κρατικές ενισχύσεις. </w:t>
      </w:r>
      <w:r w:rsidRPr="00D4056A">
        <w:rPr>
          <w:sz w:val="17"/>
        </w:rPr>
        <w:fldChar w:fldCharType="begin"/>
      </w:r>
      <w:r w:rsidRPr="00D4056A">
        <w:rPr>
          <w:sz w:val="17"/>
        </w:rPr>
        <w:instrText>HYPERLINK "https://ec.europa.eu/commission/presscorner/detail/en/ip_24_6081" \h</w:instrText>
      </w:r>
      <w:r w:rsidRPr="00D4056A">
        <w:rPr>
          <w:sz w:val="17"/>
        </w:rPr>
      </w:r>
      <w:r w:rsidRPr="00D4056A">
        <w:rPr>
          <w:sz w:val="17"/>
        </w:rPr>
        <w:fldChar w:fldCharType="separate"/>
      </w:r>
      <w:r w:rsidRPr="00D4056A">
        <w:rPr>
          <w:sz w:val="17"/>
        </w:rPr>
        <w:t>Κρατικές ενισχύσεις</w:t>
      </w:r>
      <w:r w:rsidRPr="00D4056A">
        <w:rPr>
          <w:sz w:val="17"/>
        </w:rPr>
        <w:fldChar w:fldCharType="end"/>
      </w:r>
      <w:r w:rsidRPr="00D4056A">
        <w:rPr>
          <w:sz w:val="17"/>
        </w:rPr>
        <w:t xml:space="preserve">· η απόφαση της Ευρωπαϊκής Επιτροπής δεν </w:t>
      </w:r>
      <w:bookmarkStart w:id="12" w:name="_bookmark21"/>
      <w:bookmarkEnd w:id="12"/>
      <w:r w:rsidRPr="00D4056A">
        <w:rPr>
          <w:sz w:val="17"/>
        </w:rPr>
        <w:t>δημοσιοποιείται κατά τη στιγμή της σύνταξης του GN2).</w:t>
      </w:r>
    </w:p>
    <w:p w14:paraId="7C433ABA" w14:textId="578173C0" w:rsidR="00D4056A" w:rsidRPr="00D4056A" w:rsidRDefault="00D4056A">
      <w:pPr>
        <w:pStyle w:val="FootnoteText"/>
      </w:pPr>
    </w:p>
  </w:footnote>
  <w:footnote w:id="13">
    <w:p w14:paraId="2167B414" w14:textId="174C0DBB" w:rsidR="00001809" w:rsidRPr="00001809" w:rsidRDefault="00001809" w:rsidP="005A69EB">
      <w:pPr>
        <w:spacing w:after="120"/>
        <w:ind w:left="25" w:right="421"/>
        <w:rPr>
          <w:sz w:val="17"/>
        </w:rPr>
      </w:pPr>
      <w:r>
        <w:rPr>
          <w:rStyle w:val="FootnoteReference"/>
        </w:rPr>
        <w:footnoteRef/>
      </w:r>
      <w:r>
        <w:t xml:space="preserve"> </w:t>
      </w:r>
      <w:r>
        <w:rPr>
          <w:sz w:val="17"/>
        </w:rPr>
        <w:t>Βλ. σημεία 11 και 12 του εγγράφου εργασίας των υπηρεσιών της Επιτροπής — Οδηγός για την εφαρμογή της ευρωπαϊκής</w:t>
      </w:r>
      <w:r w:rsidRPr="00001809">
        <w:rPr>
          <w:sz w:val="17"/>
        </w:rPr>
        <w:t xml:space="preserve"> Τους κανόνες της Ένωσης για τις κρατικές ενισχύσεις, τις δημόσιες συμβάσεις και την εσωτερική αγορά υπηρεσιών γενικού οικονομικού συμφέροντος, και</w:t>
      </w:r>
      <w:r w:rsidRPr="00001809">
        <w:rPr>
          <w:sz w:val="17"/>
        </w:rPr>
        <w:t xml:space="preserve"> </w:t>
      </w:r>
      <w:r>
        <w:rPr>
          <w:sz w:val="17"/>
        </w:rPr>
        <w:t xml:space="preserve">ειδικότερα για τις κοινωνικές υπηρεσίες κοινής ωφέλειας (εφεξής — το έγγραφο Q-A 2013 της ΕΚ για τις ΥΓΟΣ) &amp; </w:t>
      </w:r>
      <w:r>
        <w:fldChar w:fldCharType="begin"/>
      </w:r>
      <w:r>
        <w:instrText>HYPERLINK "https://competition-policy.ec.europa.eu/document/download/fa5e107c-ad5c-4ae8-a8ae-b0037c993b23_en?filename=20130429_SWD-2013-53_SGEI_public_procurement_application_guide_en.pdf" \h</w:instrText>
      </w:r>
      <w:r>
        <w:fldChar w:fldCharType="separate"/>
      </w:r>
      <w:r>
        <w:rPr>
          <w:color w:val="0000FF"/>
          <w:sz w:val="17"/>
          <w:u w:val="single" w:color="0000FF"/>
        </w:rPr>
        <w:t>fa5e107c-</w:t>
      </w:r>
      <w:r>
        <w:fldChar w:fldCharType="end"/>
      </w:r>
      <w:r>
        <w:rPr>
          <w:color w:val="0000FF"/>
          <w:sz w:val="17"/>
        </w:rPr>
        <w:t xml:space="preserve"> </w:t>
      </w:r>
      <w:bookmarkStart w:id="13" w:name="_bookmark22"/>
      <w:bookmarkEnd w:id="13"/>
      <w:r>
        <w:fldChar w:fldCharType="begin"/>
      </w:r>
      <w:r>
        <w:instrText>HYPERLINK "https://competition-policy.ec.europa.eu/document/download/fa5e107c-ad5c-4ae8-a8ae-b0037c993b23_en?filename=20130429_SWD-2013-53_SGEI_public_procurement_application_guide_en.pdf" \h</w:instrText>
      </w:r>
      <w:r>
        <w:fldChar w:fldCharType="separate"/>
      </w:r>
      <w:r>
        <w:rPr>
          <w:color w:val="0000FF"/>
          <w:sz w:val="17"/>
          <w:u w:val="single" w:color="0000FF"/>
        </w:rPr>
        <w:t>ad5c-4ae8-a8ae-b0037c993b23_en</w:t>
      </w:r>
      <w:r>
        <w:fldChar w:fldCharType="end"/>
      </w:r>
      <w:r>
        <w:rPr>
          <w:color w:val="0000FF"/>
          <w:sz w:val="17"/>
        </w:rPr>
        <w:t xml:space="preserve"> </w:t>
      </w:r>
      <w:r>
        <w:rPr>
          <w:sz w:val="17"/>
        </w:rPr>
        <w:t>&gt;</w:t>
      </w:r>
      <w:r w:rsidR="005A69EB">
        <w:rPr>
          <w:sz w:val="17"/>
          <w:lang w:val="el-GR"/>
        </w:rPr>
        <w:t xml:space="preserve"> </w:t>
      </w:r>
    </w:p>
  </w:footnote>
  <w:footnote w:id="14">
    <w:p w14:paraId="346ADD1F" w14:textId="2A2DFAFA" w:rsidR="005A69EB" w:rsidRPr="005A69EB" w:rsidRDefault="005A69EB" w:rsidP="005A69EB">
      <w:pPr>
        <w:spacing w:after="120"/>
        <w:ind w:left="25"/>
        <w:rPr>
          <w:lang w:val="en-US"/>
        </w:rPr>
      </w:pPr>
      <w:r>
        <w:rPr>
          <w:rStyle w:val="FootnoteReference"/>
        </w:rPr>
        <w:footnoteRef/>
      </w:r>
      <w:r w:rsidRPr="005A69EB">
        <w:rPr>
          <w:lang w:val="en-US"/>
        </w:rPr>
        <w:t xml:space="preserve"> </w:t>
      </w:r>
      <w:hyperlink r:id="rId5">
        <w:proofErr w:type="spellStart"/>
        <w:proofErr w:type="gramStart"/>
        <w:r w:rsidRPr="00E37F8E">
          <w:rPr>
            <w:color w:val="0000FF"/>
            <w:sz w:val="17"/>
            <w:u w:val="single" w:color="0000FF"/>
            <w:lang w:val="en-US"/>
          </w:rPr>
          <w:t>showPdf.jsf;jsessionid</w:t>
        </w:r>
        <w:proofErr w:type="spellEnd"/>
        <w:proofErr w:type="gramEnd"/>
        <w:r w:rsidRPr="00E37F8E">
          <w:rPr>
            <w:color w:val="0000FF"/>
            <w:sz w:val="17"/>
            <w:u w:val="single" w:color="0000FF"/>
            <w:lang w:val="en-US"/>
          </w:rPr>
          <w:t>=CFBDBE08789C37FF953A3F39B1BD1B9D (europa.eu)</w:t>
        </w:r>
      </w:hyperlink>
      <w:r w:rsidRPr="005A69EB">
        <w:rPr>
          <w:lang w:val="en-US"/>
        </w:rPr>
        <w:t xml:space="preserve"> </w:t>
      </w:r>
    </w:p>
  </w:footnote>
  <w:footnote w:id="15">
    <w:p w14:paraId="661C4D08" w14:textId="7F22B61D" w:rsidR="005A69EB" w:rsidRPr="005A69EB" w:rsidRDefault="005A69EB" w:rsidP="005A69EB">
      <w:pPr>
        <w:spacing w:after="120"/>
        <w:ind w:left="25"/>
        <w:rPr>
          <w:lang w:val="en-US"/>
        </w:rPr>
      </w:pPr>
      <w:r>
        <w:rPr>
          <w:rStyle w:val="FootnoteReference"/>
        </w:rPr>
        <w:footnoteRef/>
      </w:r>
      <w:r w:rsidRPr="005A69EB">
        <w:rPr>
          <w:lang w:val="en-US"/>
        </w:rPr>
        <w:t xml:space="preserve"> </w:t>
      </w:r>
      <w:hyperlink r:id="rId6" w:history="1">
        <w:r w:rsidR="002D53CA" w:rsidRPr="00AC49B9">
          <w:rPr>
            <w:rStyle w:val="Hyperlink"/>
            <w:sz w:val="17"/>
            <w:lang w:val="en-US"/>
          </w:rPr>
          <w:t>https://eur-lex.europa.eu/legal-content/EN/TXT/?uri=CELEX:62003TJ0289</w:t>
        </w:r>
      </w:hyperlink>
      <w:r w:rsidRPr="005A69EB">
        <w:rPr>
          <w:lang w:val="en-US"/>
        </w:rPr>
        <w:t xml:space="preserve"> </w:t>
      </w:r>
    </w:p>
  </w:footnote>
  <w:footnote w:id="16">
    <w:p w14:paraId="4E72D722" w14:textId="63F0C773" w:rsidR="005A69EB" w:rsidRPr="005A69EB" w:rsidRDefault="005A69EB">
      <w:pPr>
        <w:pStyle w:val="FootnoteText"/>
        <w:rPr>
          <w:lang w:val="en-US"/>
        </w:rPr>
      </w:pPr>
      <w:r>
        <w:rPr>
          <w:rStyle w:val="FootnoteReference"/>
        </w:rPr>
        <w:footnoteRef/>
      </w:r>
      <w:r w:rsidRPr="005A69EB">
        <w:rPr>
          <w:lang w:val="en-US"/>
        </w:rPr>
        <w:t xml:space="preserve"> </w:t>
      </w:r>
      <w:hyperlink r:id="rId7">
        <w:r w:rsidRPr="00E37F8E">
          <w:rPr>
            <w:color w:val="0000FF"/>
            <w:sz w:val="17"/>
            <w:u w:val="single" w:color="0000FF"/>
            <w:lang w:val="en-US"/>
          </w:rPr>
          <w:t>EUR-Lex — 61999J0205 — EN (europa.eu)</w:t>
        </w:r>
      </w:hyperlink>
    </w:p>
  </w:footnote>
  <w:footnote w:id="17">
    <w:p w14:paraId="5FC66057" w14:textId="77777777" w:rsidR="002D53CA" w:rsidRPr="002D53CA" w:rsidRDefault="002D53CA" w:rsidP="002D53CA">
      <w:pPr>
        <w:spacing w:after="120"/>
        <w:ind w:left="25"/>
        <w:jc w:val="both"/>
        <w:rPr>
          <w:sz w:val="17"/>
          <w:lang w:val="el-GR"/>
        </w:rPr>
      </w:pPr>
      <w:r>
        <w:rPr>
          <w:rStyle w:val="FootnoteReference"/>
        </w:rPr>
        <w:footnoteRef/>
      </w:r>
      <w:r>
        <w:t xml:space="preserve"> </w:t>
      </w:r>
      <w:r>
        <w:rPr>
          <w:sz w:val="17"/>
        </w:rPr>
        <w:t>Η οδηγία περί αποβλήτων ορίζει, στο άρθρο 3, παράγραφος 2, στοιχείο β΄, τα αστικά απόβλητα:</w:t>
      </w:r>
      <w:r>
        <w:rPr>
          <w:sz w:val="17"/>
          <w:lang w:val="el-GR"/>
        </w:rPr>
        <w:t xml:space="preserve"> </w:t>
      </w:r>
    </w:p>
    <w:p w14:paraId="586AC936" w14:textId="77777777" w:rsidR="002D53CA" w:rsidRDefault="002D53CA" w:rsidP="002D53CA">
      <w:pPr>
        <w:pStyle w:val="P68B1DB1-a22"/>
        <w:spacing w:after="120"/>
        <w:ind w:left="25"/>
        <w:jc w:val="both"/>
      </w:pPr>
      <w:r>
        <w:t>«2β. «δημοτικά απόβλητα»:</w:t>
      </w:r>
    </w:p>
    <w:p w14:paraId="13B61421" w14:textId="77777777" w:rsidR="002D53CA" w:rsidRDefault="002D53CA" w:rsidP="002D53CA">
      <w:pPr>
        <w:pStyle w:val="P68B1DB1-a523"/>
        <w:numPr>
          <w:ilvl w:val="0"/>
          <w:numId w:val="28"/>
        </w:numPr>
        <w:tabs>
          <w:tab w:val="left" w:pos="311"/>
        </w:tabs>
        <w:spacing w:after="120"/>
        <w:ind w:right="433" w:firstLine="0"/>
      </w:pPr>
      <w:r>
        <w:t>ανάμεικτα</w:t>
      </w:r>
      <w:r>
        <w:t xml:space="preserve"> </w:t>
      </w:r>
      <w:r>
        <w:t>απόβλητα</w:t>
      </w:r>
      <w:r>
        <w:t xml:space="preserve"> </w:t>
      </w:r>
      <w:r>
        <w:t>και</w:t>
      </w:r>
      <w:r>
        <w:t xml:space="preserve"> </w:t>
      </w:r>
      <w:r>
        <w:t>απόβλητα</w:t>
      </w:r>
      <w:r>
        <w:t xml:space="preserve"> </w:t>
      </w:r>
      <w:r>
        <w:t>που</w:t>
      </w:r>
      <w:r>
        <w:t xml:space="preserve"> </w:t>
      </w:r>
      <w:r>
        <w:t>συλλέγονται</w:t>
      </w:r>
      <w:r>
        <w:t xml:space="preserve"> </w:t>
      </w:r>
      <w:r>
        <w:t>χωριστά</w:t>
      </w:r>
      <w:r>
        <w:t xml:space="preserve"> </w:t>
      </w:r>
      <w:r>
        <w:t>από</w:t>
      </w:r>
      <w:r>
        <w:t xml:space="preserve"> </w:t>
      </w:r>
      <w:r>
        <w:t>νοικοκυριά</w:t>
      </w:r>
      <w:r>
        <w:t xml:space="preserve">, </w:t>
      </w:r>
      <w:r>
        <w:t>συμπεριλαμβανομένου</w:t>
      </w:r>
      <w:r>
        <w:t xml:space="preserve"> </w:t>
      </w:r>
      <w:r>
        <w:t>του</w:t>
      </w:r>
      <w:r>
        <w:t xml:space="preserve"> </w:t>
      </w:r>
      <w:r>
        <w:t>χαρτιού</w:t>
      </w:r>
      <w:r>
        <w:t xml:space="preserve"> </w:t>
      </w:r>
      <w:r>
        <w:t>και</w:t>
      </w:r>
      <w:r>
        <w:t xml:space="preserve"> </w:t>
      </w:r>
      <w:r>
        <w:t>του</w:t>
      </w:r>
      <w:r>
        <w:t xml:space="preserve"> </w:t>
      </w:r>
      <w:r>
        <w:t>χαρτονιού</w:t>
      </w:r>
      <w:r>
        <w:t xml:space="preserve">, </w:t>
      </w:r>
      <w:r>
        <w:t>του</w:t>
      </w:r>
      <w:r>
        <w:t xml:space="preserve"> </w:t>
      </w:r>
      <w:r>
        <w:t>γυαλιού</w:t>
      </w:r>
      <w:r>
        <w:t xml:space="preserve">, </w:t>
      </w:r>
      <w:r>
        <w:t>των</w:t>
      </w:r>
      <w:r>
        <w:t xml:space="preserve"> </w:t>
      </w:r>
      <w:r>
        <w:t>μετάλλων</w:t>
      </w:r>
      <w:r>
        <w:t xml:space="preserve">, </w:t>
      </w:r>
      <w:r>
        <w:t>των</w:t>
      </w:r>
      <w:r>
        <w:t xml:space="preserve"> </w:t>
      </w:r>
      <w:r>
        <w:t>πλαστικών</w:t>
      </w:r>
      <w:r>
        <w:t xml:space="preserve">, </w:t>
      </w:r>
      <w:r>
        <w:t>των</w:t>
      </w:r>
      <w:r>
        <w:t xml:space="preserve"> </w:t>
      </w:r>
      <w:r>
        <w:t>βιολογικών</w:t>
      </w:r>
      <w:r>
        <w:t xml:space="preserve"> </w:t>
      </w:r>
      <w:r>
        <w:t>αποβλήτων</w:t>
      </w:r>
      <w:r>
        <w:t xml:space="preserve">, </w:t>
      </w:r>
      <w:r>
        <w:t>του</w:t>
      </w:r>
      <w:r>
        <w:t xml:space="preserve"> </w:t>
      </w:r>
      <w:r>
        <w:t>ξύλου</w:t>
      </w:r>
      <w:r>
        <w:t xml:space="preserve">, </w:t>
      </w:r>
      <w:r>
        <w:t>των</w:t>
      </w:r>
      <w:r>
        <w:t xml:space="preserve"> </w:t>
      </w:r>
      <w:r>
        <w:t>κλωστοϋφαντουργικών</w:t>
      </w:r>
      <w:r>
        <w:t xml:space="preserve"> </w:t>
      </w:r>
      <w:r>
        <w:t>προϊόντων</w:t>
      </w:r>
      <w:r>
        <w:t xml:space="preserve">, </w:t>
      </w:r>
      <w:r>
        <w:t>των</w:t>
      </w:r>
      <w:r>
        <w:t xml:space="preserve"> </w:t>
      </w:r>
      <w:r>
        <w:t>συσκευασιών</w:t>
      </w:r>
      <w:r>
        <w:t xml:space="preserve">, </w:t>
      </w:r>
      <w:r>
        <w:t>των</w:t>
      </w:r>
      <w:r>
        <w:t xml:space="preserve"> </w:t>
      </w:r>
      <w:r>
        <w:t>αποβλήτων</w:t>
      </w:r>
      <w:r>
        <w:t xml:space="preserve"> </w:t>
      </w:r>
      <w:r>
        <w:t>ηλεκτρικού</w:t>
      </w:r>
      <w:r>
        <w:t xml:space="preserve"> </w:t>
      </w:r>
      <w:r>
        <w:t>και</w:t>
      </w:r>
      <w:r>
        <w:t xml:space="preserve"> </w:t>
      </w:r>
      <w:r>
        <w:t>ηλεκτρονικού</w:t>
      </w:r>
      <w:r>
        <w:t xml:space="preserve"> </w:t>
      </w:r>
      <w:r>
        <w:t>εξοπλισμού</w:t>
      </w:r>
      <w:r>
        <w:t xml:space="preserve">, </w:t>
      </w:r>
      <w:r>
        <w:t>των</w:t>
      </w:r>
      <w:r>
        <w:t xml:space="preserve"> </w:t>
      </w:r>
      <w:r>
        <w:t>αποβλήτων</w:t>
      </w:r>
      <w:r>
        <w:t xml:space="preserve"> </w:t>
      </w:r>
      <w:r>
        <w:t>ηλεκτρικών</w:t>
      </w:r>
      <w:r>
        <w:t xml:space="preserve"> </w:t>
      </w:r>
      <w:r>
        <w:t>στηλών</w:t>
      </w:r>
      <w:r>
        <w:t xml:space="preserve"> </w:t>
      </w:r>
      <w:r>
        <w:t>και</w:t>
      </w:r>
      <w:r>
        <w:t xml:space="preserve"> </w:t>
      </w:r>
      <w:r>
        <w:t>συσσωρευτών</w:t>
      </w:r>
      <w:r>
        <w:t xml:space="preserve"> </w:t>
      </w:r>
      <w:r>
        <w:t>και</w:t>
      </w:r>
      <w:r>
        <w:t xml:space="preserve"> </w:t>
      </w:r>
      <w:r>
        <w:t>των</w:t>
      </w:r>
      <w:r>
        <w:t xml:space="preserve"> </w:t>
      </w:r>
      <w:r>
        <w:t>ογκωδών</w:t>
      </w:r>
      <w:r>
        <w:t xml:space="preserve"> </w:t>
      </w:r>
      <w:r>
        <w:t>αποβλήτων</w:t>
      </w:r>
      <w:r>
        <w:t xml:space="preserve">, </w:t>
      </w:r>
      <w:r>
        <w:t>συμπεριλαμβανομένων</w:t>
      </w:r>
      <w:r>
        <w:t xml:space="preserve"> </w:t>
      </w:r>
      <w:r>
        <w:t>των</w:t>
      </w:r>
      <w:r>
        <w:t xml:space="preserve"> </w:t>
      </w:r>
      <w:r>
        <w:t>στρωμάτων</w:t>
      </w:r>
      <w:r>
        <w:t xml:space="preserve"> </w:t>
      </w:r>
      <w:r>
        <w:t>και</w:t>
      </w:r>
      <w:r>
        <w:t xml:space="preserve"> </w:t>
      </w:r>
      <w:r>
        <w:t>των</w:t>
      </w:r>
      <w:r>
        <w:t xml:space="preserve"> </w:t>
      </w:r>
      <w:r>
        <w:t>επίπλων</w:t>
      </w:r>
      <w:r>
        <w:t>.</w:t>
      </w:r>
    </w:p>
    <w:p w14:paraId="4B2F04F6" w14:textId="77777777" w:rsidR="002D53CA" w:rsidRDefault="002D53CA" w:rsidP="002D53CA">
      <w:pPr>
        <w:pStyle w:val="P68B1DB1-a523"/>
        <w:numPr>
          <w:ilvl w:val="0"/>
          <w:numId w:val="28"/>
        </w:numPr>
        <w:tabs>
          <w:tab w:val="left" w:pos="311"/>
        </w:tabs>
        <w:spacing w:after="120"/>
        <w:ind w:right="436" w:firstLine="0"/>
      </w:pPr>
      <w:r>
        <w:t>ανάμεικτα</w:t>
      </w:r>
      <w:r>
        <w:t xml:space="preserve"> </w:t>
      </w:r>
      <w:r>
        <w:t>απόβλητα</w:t>
      </w:r>
      <w:r>
        <w:t xml:space="preserve"> </w:t>
      </w:r>
      <w:r>
        <w:t>και</w:t>
      </w:r>
      <w:r>
        <w:t xml:space="preserve"> </w:t>
      </w:r>
      <w:r>
        <w:t>χωριστά</w:t>
      </w:r>
      <w:r>
        <w:t xml:space="preserve"> </w:t>
      </w:r>
      <w:r>
        <w:t>συλλεγόμενα</w:t>
      </w:r>
      <w:r>
        <w:t xml:space="preserve"> </w:t>
      </w:r>
      <w:r>
        <w:t>απόβλητα</w:t>
      </w:r>
      <w:r>
        <w:t xml:space="preserve"> </w:t>
      </w:r>
      <w:r>
        <w:t>από</w:t>
      </w:r>
      <w:r>
        <w:t xml:space="preserve"> </w:t>
      </w:r>
      <w:r>
        <w:t>άλλες</w:t>
      </w:r>
      <w:r>
        <w:t xml:space="preserve"> </w:t>
      </w:r>
      <w:r>
        <w:t>πηγές</w:t>
      </w:r>
      <w:r>
        <w:t xml:space="preserve">, </w:t>
      </w:r>
      <w:r>
        <w:t>όταν</w:t>
      </w:r>
      <w:r>
        <w:t xml:space="preserve"> </w:t>
      </w:r>
      <w:r>
        <w:t>τα</w:t>
      </w:r>
      <w:r>
        <w:t xml:space="preserve"> </w:t>
      </w:r>
      <w:r>
        <w:t>απόβλητα</w:t>
      </w:r>
      <w:r>
        <w:t xml:space="preserve"> </w:t>
      </w:r>
      <w:r>
        <w:t>αυτά</w:t>
      </w:r>
      <w:r>
        <w:t xml:space="preserve"> </w:t>
      </w:r>
      <w:r>
        <w:t>είναι</w:t>
      </w:r>
      <w:r>
        <w:t xml:space="preserve"> </w:t>
      </w:r>
      <w:r>
        <w:t>παρόμοιας</w:t>
      </w:r>
      <w:r>
        <w:t xml:space="preserve"> </w:t>
      </w:r>
      <w:r>
        <w:t>φύσης</w:t>
      </w:r>
      <w:r>
        <w:t xml:space="preserve"> </w:t>
      </w:r>
      <w:r>
        <w:t>και</w:t>
      </w:r>
      <w:r>
        <w:t xml:space="preserve"> </w:t>
      </w:r>
      <w:r>
        <w:t>σύνθεσης</w:t>
      </w:r>
      <w:r>
        <w:t xml:space="preserve"> </w:t>
      </w:r>
      <w:r>
        <w:t>με</w:t>
      </w:r>
      <w:r>
        <w:t xml:space="preserve"> </w:t>
      </w:r>
      <w:r>
        <w:t>τα</w:t>
      </w:r>
      <w:r>
        <w:t xml:space="preserve"> </w:t>
      </w:r>
      <w:r>
        <w:t>απόβλητα</w:t>
      </w:r>
      <w:r>
        <w:t xml:space="preserve"> </w:t>
      </w:r>
      <w:r>
        <w:t>των</w:t>
      </w:r>
      <w:r>
        <w:t xml:space="preserve"> </w:t>
      </w:r>
      <w:r>
        <w:t>νοικοκυριών</w:t>
      </w:r>
      <w:r>
        <w:t>.</w:t>
      </w:r>
    </w:p>
    <w:p w14:paraId="65DE3C70" w14:textId="77777777" w:rsidR="002D53CA" w:rsidRDefault="002D53CA" w:rsidP="002D53CA">
      <w:pPr>
        <w:pStyle w:val="P68B1DB1-a24"/>
        <w:spacing w:after="120"/>
        <w:ind w:left="25" w:right="436"/>
        <w:jc w:val="both"/>
      </w:pPr>
      <w:r>
        <w:t>Τα</w:t>
      </w:r>
      <w:r>
        <w:t xml:space="preserve"> </w:t>
      </w:r>
      <w:r>
        <w:t>αστικά</w:t>
      </w:r>
      <w:r>
        <w:t xml:space="preserve"> </w:t>
      </w:r>
      <w:r>
        <w:t>απόβλητα</w:t>
      </w:r>
      <w:r>
        <w:t xml:space="preserve"> </w:t>
      </w:r>
      <w:r>
        <w:t>δεν</w:t>
      </w:r>
      <w:r>
        <w:t xml:space="preserve"> </w:t>
      </w:r>
      <w:r>
        <w:t>περιλαμβάνουν</w:t>
      </w:r>
      <w:r>
        <w:t xml:space="preserve"> </w:t>
      </w:r>
      <w:r>
        <w:t>τα</w:t>
      </w:r>
      <w:r>
        <w:t xml:space="preserve"> </w:t>
      </w:r>
      <w:r>
        <w:t>απόβλητα</w:t>
      </w:r>
      <w:r>
        <w:t xml:space="preserve"> </w:t>
      </w:r>
      <w:r>
        <w:t>από</w:t>
      </w:r>
      <w:r>
        <w:t xml:space="preserve"> </w:t>
      </w:r>
      <w:r>
        <w:t>την</w:t>
      </w:r>
      <w:r>
        <w:t xml:space="preserve"> </w:t>
      </w:r>
      <w:r>
        <w:t>παραγωγή</w:t>
      </w:r>
      <w:r>
        <w:t xml:space="preserve">, </w:t>
      </w:r>
      <w:r>
        <w:t>τη</w:t>
      </w:r>
      <w:r>
        <w:t xml:space="preserve"> </w:t>
      </w:r>
      <w:r>
        <w:t>γεωργία</w:t>
      </w:r>
      <w:r>
        <w:t xml:space="preserve">, </w:t>
      </w:r>
      <w:r>
        <w:t>τη</w:t>
      </w:r>
      <w:r>
        <w:t xml:space="preserve"> </w:t>
      </w:r>
      <w:r>
        <w:t>δασοκομία</w:t>
      </w:r>
      <w:r>
        <w:t xml:space="preserve">, </w:t>
      </w:r>
      <w:r>
        <w:t>την</w:t>
      </w:r>
      <w:r>
        <w:t xml:space="preserve"> </w:t>
      </w:r>
      <w:r>
        <w:t>αλιεία</w:t>
      </w:r>
      <w:r>
        <w:t xml:space="preserve">, </w:t>
      </w:r>
      <w:r>
        <w:t>τις</w:t>
      </w:r>
      <w:r>
        <w:t xml:space="preserve"> </w:t>
      </w:r>
      <w:r>
        <w:t>σηπτικές</w:t>
      </w:r>
      <w:r>
        <w:t xml:space="preserve"> </w:t>
      </w:r>
      <w:r>
        <w:t>δεξαμενές</w:t>
      </w:r>
      <w:r>
        <w:t xml:space="preserve"> </w:t>
      </w:r>
      <w:r>
        <w:t>και</w:t>
      </w:r>
      <w:r>
        <w:t xml:space="preserve"> </w:t>
      </w:r>
      <w:r>
        <w:t>το</w:t>
      </w:r>
      <w:r>
        <w:t xml:space="preserve"> </w:t>
      </w:r>
      <w:r>
        <w:t>δίκτυο</w:t>
      </w:r>
      <w:r>
        <w:t xml:space="preserve"> </w:t>
      </w:r>
      <w:r>
        <w:t>αποχέτευσης</w:t>
      </w:r>
      <w:r>
        <w:t xml:space="preserve"> </w:t>
      </w:r>
      <w:r>
        <w:t>και</w:t>
      </w:r>
      <w:r>
        <w:t xml:space="preserve"> </w:t>
      </w:r>
      <w:r>
        <w:t>την</w:t>
      </w:r>
      <w:r>
        <w:t xml:space="preserve"> </w:t>
      </w:r>
      <w:r>
        <w:t>επεξεργασία</w:t>
      </w:r>
      <w:r>
        <w:t xml:space="preserve">, </w:t>
      </w:r>
      <w:r>
        <w:t>συμπεριλαμβανομένης</w:t>
      </w:r>
      <w:r>
        <w:t xml:space="preserve"> </w:t>
      </w:r>
      <w:r>
        <w:t>της</w:t>
      </w:r>
      <w:r>
        <w:t xml:space="preserve"> </w:t>
      </w:r>
      <w:r>
        <w:t>ιλύος</w:t>
      </w:r>
      <w:r>
        <w:t xml:space="preserve"> </w:t>
      </w:r>
      <w:r>
        <w:t>καθαρισμού</w:t>
      </w:r>
      <w:r>
        <w:t xml:space="preserve"> </w:t>
      </w:r>
      <w:r>
        <w:t>λυμάτων</w:t>
      </w:r>
      <w:r>
        <w:t xml:space="preserve">, </w:t>
      </w:r>
      <w:r>
        <w:t>των</w:t>
      </w:r>
      <w:r>
        <w:t xml:space="preserve"> </w:t>
      </w:r>
      <w:r>
        <w:t>οχημάτων</w:t>
      </w:r>
      <w:r>
        <w:t xml:space="preserve"> </w:t>
      </w:r>
      <w:r>
        <w:t>στο</w:t>
      </w:r>
      <w:r>
        <w:t xml:space="preserve"> </w:t>
      </w:r>
      <w:r>
        <w:t>τέλος</w:t>
      </w:r>
      <w:r>
        <w:t xml:space="preserve"> </w:t>
      </w:r>
      <w:r>
        <w:t>του</w:t>
      </w:r>
      <w:r>
        <w:t xml:space="preserve"> </w:t>
      </w:r>
      <w:r>
        <w:t>κύκλου</w:t>
      </w:r>
      <w:r>
        <w:t xml:space="preserve"> </w:t>
      </w:r>
      <w:r>
        <w:t>ζωής</w:t>
      </w:r>
      <w:r>
        <w:t xml:space="preserve"> </w:t>
      </w:r>
      <w:r>
        <w:t>τους</w:t>
      </w:r>
      <w:r>
        <w:t xml:space="preserve"> </w:t>
      </w:r>
      <w:r>
        <w:t>ή</w:t>
      </w:r>
      <w:r>
        <w:t xml:space="preserve"> </w:t>
      </w:r>
      <w:r>
        <w:t>των</w:t>
      </w:r>
      <w:r>
        <w:t xml:space="preserve"> </w:t>
      </w:r>
      <w:r>
        <w:t>αποβλήτων</w:t>
      </w:r>
      <w:r>
        <w:t xml:space="preserve"> </w:t>
      </w:r>
      <w:r>
        <w:t>κατασκευών</w:t>
      </w:r>
      <w:r>
        <w:t xml:space="preserve"> </w:t>
      </w:r>
      <w:r>
        <w:t>και</w:t>
      </w:r>
      <w:r>
        <w:t xml:space="preserve"> </w:t>
      </w:r>
      <w:r>
        <w:t>κατεδαφίσεων</w:t>
      </w:r>
      <w:r>
        <w:t>.</w:t>
      </w:r>
    </w:p>
    <w:p w14:paraId="432BA6A0" w14:textId="6244B284" w:rsidR="002D53CA" w:rsidRPr="002D53CA" w:rsidRDefault="002D53CA" w:rsidP="002D53CA">
      <w:pPr>
        <w:pStyle w:val="P68B1DB1-a22"/>
        <w:spacing w:after="120"/>
        <w:ind w:left="25" w:right="434"/>
        <w:jc w:val="both"/>
      </w:pPr>
      <w:r>
        <w:t>Ο ορισμός αυτός δεν θίγει την κατανομή αρμοδιοτήτων για τη διαχείριση αποβλήτων μεταξύ δημόσιων και ιδιωτικών φορέων.»</w:t>
      </w:r>
    </w:p>
  </w:footnote>
  <w:footnote w:id="18">
    <w:p w14:paraId="30ECDAD9" w14:textId="77777777" w:rsidR="002D53CA" w:rsidRDefault="002D53CA" w:rsidP="002D53CA">
      <w:pPr>
        <w:spacing w:after="120"/>
        <w:ind w:left="25"/>
        <w:jc w:val="both"/>
        <w:rPr>
          <w:sz w:val="17"/>
        </w:rPr>
      </w:pPr>
      <w:r>
        <w:rPr>
          <w:rStyle w:val="FootnoteReference"/>
        </w:rPr>
        <w:footnoteRef/>
      </w:r>
      <w:r>
        <w:t xml:space="preserve"> </w:t>
      </w:r>
      <w:r>
        <w:rPr>
          <w:sz w:val="17"/>
        </w:rPr>
        <w:t>Το άρθρο 3, παράγραφος 2, στοιχείο β΄, της οδηγίας περί αποβλήτων ορίζει τα εξής:</w:t>
      </w:r>
    </w:p>
    <w:p w14:paraId="7F970DF5" w14:textId="71B39D2D" w:rsidR="002D53CA" w:rsidRPr="000C72D0" w:rsidRDefault="002D53CA" w:rsidP="000C72D0">
      <w:pPr>
        <w:pStyle w:val="P68B1DB1-a22"/>
        <w:spacing w:after="120"/>
        <w:ind w:left="25" w:right="436"/>
        <w:jc w:val="both"/>
        <w:rPr>
          <w:lang w:val="el-GR"/>
        </w:rPr>
      </w:pPr>
      <w:r>
        <w:t>«21. «σύστημα διευρυμένης ευθύνης του παραγωγού»: σύνολο μέτρων που λαμβάνουν τα κράτη μέλη για να εξασφαλίσουν ότι οι παραγωγοί προϊόντων φέρουν οικονομική ευθύνη ή οικονομική και οργανωτική ευθύνη για τη διαχείριση του σταδίου αποβλήτων του κύκλου ζωής ενός προϊόντος.»</w:t>
      </w:r>
    </w:p>
  </w:footnote>
  <w:footnote w:id="19">
    <w:p w14:paraId="1B5CFCA6" w14:textId="4C170D13" w:rsidR="000C72D0" w:rsidRPr="000C72D0" w:rsidRDefault="000C72D0" w:rsidP="00ED5D37">
      <w:pPr>
        <w:spacing w:after="120"/>
        <w:ind w:left="25"/>
      </w:pPr>
      <w:r>
        <w:rPr>
          <w:rStyle w:val="FootnoteReference"/>
        </w:rPr>
        <w:footnoteRef/>
      </w:r>
      <w:r>
        <w:t xml:space="preserve"> </w:t>
      </w:r>
      <w:r>
        <w:rPr>
          <w:sz w:val="17"/>
        </w:rPr>
        <w:t>Βλ. σημεία 46 και 53 του εγγράφου Q-A 2013 της Ευρωπαϊκής Επιτροπής για τις ΥΓΟΣ</w:t>
      </w:r>
    </w:p>
  </w:footnote>
  <w:footnote w:id="20">
    <w:p w14:paraId="34679377" w14:textId="77777777" w:rsidR="00ED5D37" w:rsidRDefault="00ED5D37" w:rsidP="00ED5D37">
      <w:pPr>
        <w:spacing w:after="120"/>
        <w:ind w:left="25"/>
        <w:rPr>
          <w:sz w:val="17"/>
        </w:rPr>
      </w:pPr>
      <w:r>
        <w:rPr>
          <w:rStyle w:val="FootnoteReference"/>
        </w:rPr>
        <w:footnoteRef/>
      </w:r>
      <w:r>
        <w:t xml:space="preserve"> </w:t>
      </w:r>
      <w:r>
        <w:rPr>
          <w:sz w:val="17"/>
        </w:rPr>
        <w:t>Σημεία 21 και 22 του εγγράφου Q-A 2013 της Ευρωπαϊκής Επιτροπής για τις ΥΓΟΣ</w:t>
      </w:r>
    </w:p>
    <w:p w14:paraId="7F57414E" w14:textId="04910FC8" w:rsidR="00ED5D37" w:rsidRPr="00ED5D37" w:rsidRDefault="00ED5D37">
      <w:pPr>
        <w:pStyle w:val="FootnoteText"/>
      </w:pPr>
    </w:p>
  </w:footnote>
  <w:footnote w:id="21">
    <w:p w14:paraId="42D971EB" w14:textId="0E7F69C0" w:rsidR="00ED5D37" w:rsidRPr="00ED5D37" w:rsidRDefault="00ED5D37">
      <w:pPr>
        <w:pStyle w:val="FootnoteText"/>
        <w:rPr>
          <w:lang w:val="el-GR"/>
        </w:rPr>
      </w:pPr>
      <w:r>
        <w:rPr>
          <w:rStyle w:val="FootnoteReference"/>
        </w:rPr>
        <w:footnoteRef/>
      </w:r>
      <w:r>
        <w:t xml:space="preserve"> </w:t>
      </w:r>
      <w:r>
        <w:rPr>
          <w:sz w:val="17"/>
        </w:rPr>
        <w:t xml:space="preserve">Βλ. απόφαση της Επιτροπής της 21ης Οκτωβρίου 2008 στην υπόθεση κρατικής ενίσχυσης SA.20461 Καθεστώς </w:t>
      </w:r>
      <w:hyperlink r:id="rId8">
        <w:r>
          <w:rPr>
            <w:color w:val="002E67"/>
            <w:sz w:val="17"/>
            <w:u w:val="single" w:color="002E67"/>
          </w:rPr>
          <w:t>κρατικών</w:t>
        </w:r>
      </w:hyperlink>
      <w:r>
        <w:rPr>
          <w:color w:val="002E67"/>
          <w:sz w:val="17"/>
        </w:rPr>
        <w:t xml:space="preserve"> </w:t>
      </w:r>
      <w:r>
        <w:rPr>
          <w:sz w:val="17"/>
        </w:rPr>
        <w:t xml:space="preserve">ενισχύσεων που έθεσε σε εφαρμογή η Ιταλία για την αμοιβή της </w:t>
      </w:r>
      <w:r>
        <w:rPr>
          <w:rFonts w:ascii="Arial"/>
          <w:i/>
          <w:sz w:val="17"/>
        </w:rPr>
        <w:t xml:space="preserve">Poste Italiane </w:t>
      </w:r>
      <w:r>
        <w:rPr>
          <w:sz w:val="17"/>
        </w:rPr>
        <w:t>για τη διανομή BFP (Ιταλία)</w:t>
      </w:r>
    </w:p>
  </w:footnote>
  <w:footnote w:id="22">
    <w:p w14:paraId="7FEB5905" w14:textId="31DADEF2" w:rsidR="002576CD" w:rsidRPr="002576CD" w:rsidRDefault="002576CD">
      <w:pPr>
        <w:pStyle w:val="FootnoteText"/>
        <w:rPr>
          <w:lang w:val="el-GR"/>
        </w:rPr>
      </w:pPr>
      <w:r>
        <w:rPr>
          <w:rStyle w:val="FootnoteReference"/>
        </w:rPr>
        <w:footnoteRef/>
      </w:r>
      <w:r>
        <w:t xml:space="preserve"> </w:t>
      </w:r>
      <w:r>
        <w:rPr>
          <w:sz w:val="17"/>
        </w:rPr>
        <w:t xml:space="preserve">Βλ. επίσης την απόφαση της Ευρωπαϊκής Επιτροπής της 19ης Ιουλίου 2022 στην υπόθεση κρατικής </w:t>
      </w:r>
      <w:hyperlink r:id="rId9">
        <w:r>
          <w:rPr>
            <w:color w:val="002E67"/>
            <w:sz w:val="17"/>
            <w:u w:val="single" w:color="002E67"/>
          </w:rPr>
          <w:t>ενίσχυσης</w:t>
        </w:r>
      </w:hyperlink>
      <w:r>
        <w:rPr>
          <w:color w:val="002E67"/>
          <w:sz w:val="17"/>
        </w:rPr>
        <w:t xml:space="preserve"> </w:t>
      </w:r>
      <w:r>
        <w:rPr>
          <w:rFonts w:ascii="Arial" w:hAnsi="Arial"/>
          <w:i/>
          <w:sz w:val="17"/>
        </w:rPr>
        <w:t xml:space="preserve">SA.100860 bpost SA/NV </w:t>
      </w:r>
      <w:r>
        <w:rPr>
          <w:sz w:val="17"/>
        </w:rPr>
        <w:t>(Βέλγιο), παράγραφοι 132 — 144</w:t>
      </w:r>
    </w:p>
  </w:footnote>
  <w:footnote w:id="23">
    <w:p w14:paraId="57489BFD" w14:textId="48ABE8AA" w:rsidR="00132778" w:rsidRPr="00132778" w:rsidRDefault="00132778" w:rsidP="00132778">
      <w:pPr>
        <w:spacing w:after="120"/>
        <w:ind w:left="25" w:right="424"/>
        <w:jc w:val="both"/>
      </w:pPr>
      <w:r>
        <w:rPr>
          <w:rStyle w:val="FootnoteReference"/>
        </w:rPr>
        <w:footnoteRef/>
      </w:r>
      <w:r>
        <w:t xml:space="preserve"> </w:t>
      </w:r>
      <w:r>
        <w:rPr>
          <w:sz w:val="17"/>
        </w:rPr>
        <w:t xml:space="preserve">Απόφαση ΥΓΟΣ, το άρθρο 12 του προοιμίου ορίζει ότι: </w:t>
      </w:r>
      <w:r>
        <w:rPr>
          <w:rFonts w:ascii="Arial" w:hAnsi="Arial"/>
          <w:i/>
          <w:sz w:val="17"/>
        </w:rPr>
        <w:t>«(12) Ο βαθμός στον οποίο ένα συγκεκριμένο αντισταθμιστικό μέτρο επηρεάζει τις συναλλαγές και τον ανταγωνισμό εξαρτάται όχι μόνο από το μέσο ποσό της αντιστάθμισης που λαμβάνεται ανά έτος και τον σχετικό τομέα, αλλά και από τη συνολική διάρκεια της περιόδου ανάθεσης. Εάν δεν δικαιολογείται μεγαλύτερη περίοδος λόγω της ανάγκης για σημαντική επένδυση, για παράδειγμα στον τομέα της κοινωνικής στέγασης, η εφαρμογή της παρούσας απόφασης θα πρέπει, συνεπώς, να περιορίζεται σε περιόδους ανάθεσης που δεν υπερβαίνουν τα δέκα έτη.»</w:t>
      </w:r>
    </w:p>
  </w:footnote>
  <w:footnote w:id="24">
    <w:p w14:paraId="74BDBF79" w14:textId="06098D70" w:rsidR="00132778" w:rsidRPr="00132778" w:rsidRDefault="00132778" w:rsidP="00132778">
      <w:pPr>
        <w:spacing w:after="120"/>
        <w:ind w:left="25"/>
        <w:rPr>
          <w:lang w:val="el-GR"/>
        </w:rPr>
      </w:pPr>
      <w:r>
        <w:rPr>
          <w:rStyle w:val="FootnoteReference"/>
        </w:rPr>
        <w:footnoteRef/>
      </w:r>
      <w:r>
        <w:t xml:space="preserve"> </w:t>
      </w:r>
      <w:r>
        <w:rPr>
          <w:sz w:val="17"/>
        </w:rPr>
        <w:t>Απόφαση ΥΓΟΣ, άρθρο 2 παράγραφος 2.</w:t>
      </w:r>
    </w:p>
  </w:footnote>
  <w:footnote w:id="25">
    <w:p w14:paraId="2416BD99" w14:textId="3783C6B3" w:rsidR="00132778" w:rsidRPr="00132778" w:rsidRDefault="00132778" w:rsidP="00132778">
      <w:pPr>
        <w:spacing w:after="120"/>
        <w:ind w:left="25" w:right="416"/>
        <w:jc w:val="both"/>
      </w:pPr>
      <w:r>
        <w:rPr>
          <w:rStyle w:val="FootnoteReference"/>
        </w:rPr>
        <w:footnoteRef/>
      </w:r>
      <w:r>
        <w:t xml:space="preserve"> </w:t>
      </w:r>
      <w:r>
        <w:rPr>
          <w:sz w:val="17"/>
        </w:rPr>
        <w:t xml:space="preserve">Όταν εξετάζεται το ενδεχόμενο μεγαλύτερης διάρκειας ΥΓΟΣ 10 ετών, θα πρέπει επίσης να αξιολογείται κατά πόσον η εν λόγω μεγαλύτερη περίοδος είναι πράγματι αναγκαία για την υπηρεσία όπως ορίζεται. Η Ευρωπαϊκή Επιτροπή διευκρίνισε ότι </w:t>
      </w:r>
      <w:r>
        <w:rPr>
          <w:rFonts w:ascii="Arial" w:hAnsi="Arial"/>
          <w:i/>
          <w:sz w:val="17"/>
        </w:rPr>
        <w:t xml:space="preserve">«στις περιπτώσεις που είναι σαφές ότι η αγορά θα είναι σε θέση να παρέχει την υπηρεσία εντός σύντομου χρονικού διαστήματος υπό τους όρους (συμπεριλαμβανομένων των τιμών, της ποιότητας, της συνέχειας και της πρόσβασης σε αυτήν) που επιθυμεί το κράτος μέλος, οι δημόσιες αρχές θα πρέπει να μειώσουν αναλόγως την περίοδο ανάθεσης και να παρακολουθούν την εξέλιξη της αγοράς προκειμένου να είναι σε θέση να αποφασίσουν εάν εξακολουθεί να απαιτείται νέα ανάθεση κατά τη λήξη της προηγούμενης. Εάν η αγορά εξακολουθεί να μην παρέχει την υπηρεσία στο τέλος της περιόδου ανάθεσης και το κράτος μέλος θεωρεί ότι η υπηρεσία εξακολουθεί να χαρακτηρίζεται ως ΥΓΟΣ, είναι δυνατή μια νέα ανάθεση σύμφωνα με το άρθρο </w:t>
      </w:r>
      <w:bookmarkStart w:id="16" w:name="_bookmark37"/>
      <w:bookmarkEnd w:id="16"/>
      <w:r>
        <w:rPr>
          <w:rFonts w:ascii="Arial" w:hAnsi="Arial"/>
          <w:i/>
          <w:sz w:val="17"/>
        </w:rPr>
        <w:t xml:space="preserve">106 της ΣΛΕΕ.» Βλ. </w:t>
      </w:r>
      <w:r>
        <w:rPr>
          <w:sz w:val="17"/>
        </w:rPr>
        <w:t>σημείο 12 του εγγράφου Q-A της ΕΚ για τις ΥΓΟΣ του 2013</w:t>
      </w:r>
    </w:p>
  </w:footnote>
  <w:footnote w:id="26">
    <w:p w14:paraId="2A4F01B1" w14:textId="77777777" w:rsidR="00132778" w:rsidRDefault="00132778" w:rsidP="00132778">
      <w:pPr>
        <w:spacing w:after="120"/>
        <w:ind w:left="25" w:right="421"/>
        <w:rPr>
          <w:sz w:val="17"/>
        </w:rPr>
      </w:pPr>
      <w:r>
        <w:rPr>
          <w:rStyle w:val="FootnoteReference"/>
        </w:rPr>
        <w:footnoteRef/>
      </w:r>
      <w:r>
        <w:t xml:space="preserve"> </w:t>
      </w:r>
      <w:r>
        <w:rPr>
          <w:sz w:val="17"/>
        </w:rPr>
        <w:t>Παραδείγματα όταν η ανάθεση είναι συντομότερη από την περίοδο απόσβεσης των πιο σημαντικών στοιχείων ενεργητικού που συνδέονται με την παροχή της ΥΓΟΣ:</w:t>
      </w:r>
    </w:p>
    <w:p w14:paraId="3400B400" w14:textId="77777777" w:rsidR="00132778" w:rsidRDefault="00132778" w:rsidP="00132778">
      <w:pPr>
        <w:pStyle w:val="P68B1DB1-a527"/>
        <w:numPr>
          <w:ilvl w:val="1"/>
          <w:numId w:val="25"/>
        </w:numPr>
        <w:tabs>
          <w:tab w:val="left" w:pos="746"/>
        </w:tabs>
        <w:spacing w:after="120"/>
        <w:ind w:right="432"/>
        <w:jc w:val="left"/>
        <w:rPr>
          <w:rFonts w:ascii="Symbol" w:hAnsi="Symbol"/>
          <w:color w:val="6F2F9F"/>
        </w:rPr>
      </w:pPr>
      <w:r>
        <w:rPr>
          <w:color w:val="6F2F9F"/>
        </w:rPr>
        <w:t xml:space="preserve">Σημεία 73, 122, 305-306 της απόφασης της Επιτροπής της 30ής Σεπτεμβρίου 2021 σχετικά με το μέτρο SA.32014, SA.32015, SA.32016 [ </w:t>
      </w:r>
      <w:hyperlink r:id="rId10">
        <w:r>
          <w:rPr>
            <w:color w:val="0000FF"/>
            <w:u w:val="single" w:color="0000FF"/>
          </w:rPr>
          <w:t>https://eur-lex.europa.eu/eli/dec/2022/1328</w:t>
        </w:r>
      </w:hyperlink>
      <w:r>
        <w:rPr>
          <w:color w:val="6F2F9F"/>
        </w:rPr>
        <w:t>]</w:t>
      </w:r>
    </w:p>
    <w:p w14:paraId="7BD6CE76" w14:textId="0BF4A304" w:rsidR="00132778" w:rsidRPr="00132778" w:rsidRDefault="00132778" w:rsidP="0003755F">
      <w:pPr>
        <w:pStyle w:val="P68B1DB1-a527"/>
        <w:numPr>
          <w:ilvl w:val="1"/>
          <w:numId w:val="25"/>
        </w:numPr>
        <w:tabs>
          <w:tab w:val="left" w:pos="746"/>
        </w:tabs>
        <w:spacing w:after="120"/>
        <w:ind w:right="422"/>
        <w:jc w:val="left"/>
      </w:pPr>
      <w:r w:rsidRPr="00132778">
        <w:rPr>
          <w:color w:val="6F2F9F"/>
        </w:rPr>
        <w:t xml:space="preserve">Σημεία 34, 37, 39-40, 70, 127-128 της απόφασης της Επιτροπής της 11ης Φεβρουαρίου 2017 σχετικά με το μέτρο SA.45779 [ </w:t>
      </w:r>
      <w:hyperlink r:id="rId11">
        <w:r w:rsidRPr="00132778">
          <w:rPr>
            <w:color w:val="0000FF"/>
            <w:u w:val="single" w:color="0000FF"/>
          </w:rPr>
          <w:t>264986_1870314_62_2.pdf (europa.eu)</w:t>
        </w:r>
      </w:hyperlink>
      <w:r w:rsidRPr="00132778">
        <w:rPr>
          <w:color w:val="6F2F9F"/>
        </w:rPr>
        <w:t>]</w:t>
      </w:r>
    </w:p>
  </w:footnote>
  <w:footnote w:id="27">
    <w:p w14:paraId="0868FB71" w14:textId="3B0803EB" w:rsidR="006F0886" w:rsidRPr="006F0886" w:rsidRDefault="006F0886">
      <w:pPr>
        <w:pStyle w:val="FootnoteText"/>
        <w:rPr>
          <w:lang w:val="el-GR"/>
        </w:rPr>
      </w:pPr>
      <w:r>
        <w:rPr>
          <w:rStyle w:val="FootnoteReference"/>
        </w:rPr>
        <w:footnoteRef/>
      </w:r>
      <w:r>
        <w:t xml:space="preserve"> </w:t>
      </w:r>
      <w:r>
        <w:rPr>
          <w:sz w:val="17"/>
        </w:rPr>
        <w:t>Απόφαση ΥΓΟΣ, άρθρο 5 και Πλαίσιο ΥΓΟΣ, σημεία 28 έως 32</w:t>
      </w:r>
    </w:p>
  </w:footnote>
  <w:footnote w:id="28">
    <w:p w14:paraId="1D2B2175" w14:textId="3A9BDFC9" w:rsidR="006F0886" w:rsidRPr="006F0886" w:rsidRDefault="006F0886" w:rsidP="006F0886">
      <w:pPr>
        <w:spacing w:after="120"/>
        <w:ind w:left="25"/>
        <w:jc w:val="both"/>
        <w:rPr>
          <w:lang w:val="el-GR"/>
        </w:rPr>
      </w:pPr>
      <w:r>
        <w:rPr>
          <w:rStyle w:val="FootnoteReference"/>
        </w:rPr>
        <w:footnoteRef/>
      </w:r>
      <w:r>
        <w:t xml:space="preserve"> </w:t>
      </w:r>
      <w:r>
        <w:rPr>
          <w:sz w:val="17"/>
        </w:rPr>
        <w:t xml:space="preserve">Πλαίσιο </w:t>
      </w:r>
      <w:bookmarkStart w:id="18" w:name="_bookmark40"/>
      <w:bookmarkEnd w:id="18"/>
      <w:r>
        <w:rPr>
          <w:sz w:val="17"/>
        </w:rPr>
        <w:t>ΥΓΟΣ, σημεία 25 έως 27</w:t>
      </w:r>
    </w:p>
  </w:footnote>
  <w:footnote w:id="29">
    <w:p w14:paraId="327E890E" w14:textId="3387F154" w:rsidR="006F0886" w:rsidRPr="006F0886" w:rsidRDefault="006F0886" w:rsidP="006F0886">
      <w:pPr>
        <w:pStyle w:val="P68B1DB1-a17"/>
        <w:spacing w:after="120"/>
        <w:ind w:left="25" w:right="414"/>
        <w:jc w:val="both"/>
        <w:rPr>
          <w:lang w:val="el-GR"/>
        </w:rPr>
      </w:pPr>
      <w:r>
        <w:rPr>
          <w:rStyle w:val="FootnoteReference"/>
        </w:rPr>
        <w:footnoteRef/>
      </w:r>
      <w:r>
        <w:t xml:space="preserve"> </w:t>
      </w:r>
      <w:r>
        <w:t xml:space="preserve">Το παράρτημα VII της οδηγίας 2018/1972 της ΕΕ για τη θέσπιση του Ευρωπαϊκού Κώδικα Ηλεκτρονικών Επικοινωνιών (αναδιατύπωση) [ </w:t>
      </w:r>
      <w:hyperlink r:id="rId12">
        <w:r>
          <w:rPr>
            <w:color w:val="0000FF"/>
            <w:u w:val="single" w:color="0000FF"/>
          </w:rPr>
          <w:t>οδηγία — 2018/1972 — EN — eecc — EUR-Lex (europa.eu)</w:t>
        </w:r>
      </w:hyperlink>
      <w:r>
        <w:t xml:space="preserve">] και το παράρτημα I της οδηγίας 97/67/ΕΚ σχετικά με τους κοινούς κανόνες για την ανάπτυξη της εσωτερικής αγοράς κοινοτικών ταχυδρομικών υπηρεσιών και τη βελτίωση της ποιότητας των παρεχόμενων υπηρεσιών [ </w:t>
      </w:r>
      <w:hyperlink r:id="rId13">
        <w:r>
          <w:rPr>
            <w:color w:val="0000FF"/>
            <w:u w:val="single" w:color="0000FF"/>
          </w:rPr>
          <w:t>EUR-Lex — 01997L0067-20080227 — EN — EUR-Lex (europa.eu)</w:t>
        </w:r>
      </w:hyperlink>
      <w:r>
        <w:t>]</w:t>
      </w:r>
      <w:r>
        <w:rPr>
          <w:color w:val="0000FF"/>
        </w:rPr>
        <w:t xml:space="preserve"> </w:t>
      </w:r>
      <w:r>
        <w:t>περιέχουν λεπτομερέστερες οδηγίες σχετικά με τον τρόπο εφαρμογής της μεθοδολογίας του καθαρού αποφευχθέντος κόστους.</w:t>
      </w:r>
      <w:r w:rsidRPr="006F0886">
        <w:t xml:space="preserve"> </w:t>
      </w:r>
      <w:r>
        <w:t xml:space="preserve">Βλ. επίσης, για παράδειγμα, την απόφαση της ΕΚ στην υπόθεση κρατικής ενίσχυσης </w:t>
      </w:r>
      <w:hyperlink r:id="rId14">
        <w:r>
          <w:rPr>
            <w:color w:val="002E67"/>
            <w:u w:val="single" w:color="002E67"/>
          </w:rPr>
          <w:t>SA.55270,</w:t>
        </w:r>
      </w:hyperlink>
      <w:r>
        <w:t xml:space="preserve"> τμήμα 4.2.7. Ποσό αντιστάθμισης — Υπολογισμός του καθαρού κόστους της ΥΠΚΥ και επαλήθευση της απουσίας υπεραντιστάθμισης με τη μέθοδο του καθαρού λογιστικού κόστους, παράγραφοι 78 — 125</w:t>
      </w:r>
      <w:r>
        <w:rPr>
          <w:lang w:val="el-GR"/>
        </w:rPr>
        <w:t xml:space="preserve"> </w:t>
      </w:r>
    </w:p>
  </w:footnote>
  <w:footnote w:id="30">
    <w:p w14:paraId="76923925" w14:textId="7FE8B2E3" w:rsidR="006F0886" w:rsidRPr="006F0886" w:rsidRDefault="006F0886" w:rsidP="00DA6777">
      <w:pPr>
        <w:spacing w:after="120"/>
        <w:ind w:left="25" w:right="415"/>
        <w:jc w:val="both"/>
      </w:pPr>
      <w:r>
        <w:rPr>
          <w:rStyle w:val="FootnoteReference"/>
        </w:rPr>
        <w:footnoteRef/>
      </w:r>
      <w:r>
        <w:t xml:space="preserve"> </w:t>
      </w:r>
      <w:r>
        <w:rPr>
          <w:sz w:val="17"/>
        </w:rPr>
        <w:t xml:space="preserve">Ανταλλακτικές τιμές ανταλλαγής καθορίζονται από την Ευρωπαϊκή Επιτροπή και δημοσιεύονται στην ιστοσελίδα της ΓΔ Ανταγωνισμού: &amp; </w:t>
      </w:r>
      <w:hyperlink r:id="rId15">
        <w:r>
          <w:rPr>
            <w:color w:val="0000FF"/>
            <w:sz w:val="17"/>
            <w:u w:val="single" w:color="0000FF"/>
          </w:rPr>
          <w:t>Ανταλλακτικές τιμές</w:t>
        </w:r>
      </w:hyperlink>
      <w:r>
        <w:rPr>
          <w:color w:val="0000FF"/>
          <w:sz w:val="17"/>
        </w:rPr>
        <w:t xml:space="preserve"> </w:t>
      </w:r>
      <w:hyperlink r:id="rId16">
        <w:r>
          <w:rPr>
            <w:color w:val="0000FF"/>
            <w:sz w:val="17"/>
            <w:u w:val="single" w:color="0000FF"/>
          </w:rPr>
          <w:t>— Ευρωπαϊκή Επιτροπή (europa.eu</w:t>
        </w:r>
      </w:hyperlink>
      <w:r>
        <w:rPr>
          <w:color w:val="0000FF"/>
          <w:sz w:val="17"/>
          <w:u w:val="single" w:color="0000FF"/>
        </w:rPr>
        <w:t>)</w:t>
      </w:r>
      <w:r>
        <w:rPr>
          <w:color w:val="0000FF"/>
          <w:sz w:val="17"/>
        </w:rPr>
        <w:t xml:space="preserve"> </w:t>
      </w:r>
      <w:r>
        <w:rPr>
          <w:sz w:val="17"/>
        </w:rPr>
        <w:t>&gt;</w:t>
      </w:r>
    </w:p>
  </w:footnote>
  <w:footnote w:id="31">
    <w:p w14:paraId="6692C727" w14:textId="4AC197C8" w:rsidR="00DA6777" w:rsidRPr="00DA6777" w:rsidRDefault="00DA6777">
      <w:pPr>
        <w:pStyle w:val="FootnoteText"/>
        <w:rPr>
          <w:lang w:val="el-GR"/>
        </w:rPr>
      </w:pPr>
      <w:r>
        <w:rPr>
          <w:rStyle w:val="FootnoteReference"/>
        </w:rPr>
        <w:footnoteRef/>
      </w:r>
      <w:r>
        <w:t xml:space="preserve"> </w:t>
      </w:r>
      <w:r>
        <w:rPr>
          <w:sz w:val="17"/>
        </w:rPr>
        <w:t>Πλαίσιο ΥΓΟΣ, σημεία 39 έως 43</w:t>
      </w:r>
    </w:p>
  </w:footnote>
  <w:footnote w:id="32">
    <w:p w14:paraId="552B075E" w14:textId="64A9F677" w:rsidR="00F5130F" w:rsidRPr="00F5130F" w:rsidRDefault="00F5130F" w:rsidP="00F5130F">
      <w:pPr>
        <w:spacing w:after="120"/>
        <w:ind w:left="25"/>
      </w:pPr>
      <w:r>
        <w:rPr>
          <w:rStyle w:val="FootnoteReference"/>
        </w:rPr>
        <w:footnoteRef/>
      </w:r>
      <w:r>
        <w:t xml:space="preserve"> </w:t>
      </w:r>
      <w:r>
        <w:rPr>
          <w:sz w:val="17"/>
        </w:rPr>
        <w:t>Απόφαση ΥΓΟΣ, παράγραφος 16 του προοιμίου· Πλαίσιο ΥΓΟΣ, σημείο 48.</w:t>
      </w:r>
    </w:p>
  </w:footnote>
  <w:footnote w:id="33">
    <w:p w14:paraId="56C5D213" w14:textId="2E177DDE" w:rsidR="00F5130F" w:rsidRPr="00F5130F" w:rsidRDefault="00F5130F" w:rsidP="00F5130F">
      <w:pPr>
        <w:spacing w:after="120"/>
        <w:ind w:left="25" w:right="428"/>
      </w:pPr>
      <w:r>
        <w:rPr>
          <w:rStyle w:val="FootnoteReference"/>
        </w:rPr>
        <w:footnoteRef/>
      </w:r>
      <w:r>
        <w:t xml:space="preserve"> </w:t>
      </w:r>
      <w:r>
        <w:rPr>
          <w:sz w:val="17"/>
        </w:rPr>
        <w:t>Ανακοίνωση της Επιτροπής — Ανακοίνωση της Επιτροπής σχετικά με την ανάκτηση παράνομων και ασυμβίβαστων κρατικών ενισχύσεων (ανακοίνωση για την ανάκτηση κρατικών ενισχύσεων).</w:t>
      </w:r>
    </w:p>
  </w:footnote>
  <w:footnote w:id="34">
    <w:p w14:paraId="0C496070" w14:textId="2424AD42" w:rsidR="00F5130F" w:rsidRPr="00F5130F" w:rsidRDefault="00F5130F">
      <w:pPr>
        <w:pStyle w:val="FootnoteText"/>
        <w:rPr>
          <w:lang w:val="el-GR"/>
        </w:rPr>
      </w:pPr>
      <w:r>
        <w:rPr>
          <w:rStyle w:val="FootnoteReference"/>
        </w:rPr>
        <w:footnoteRef/>
      </w:r>
      <w:r>
        <w:t xml:space="preserve"> </w:t>
      </w:r>
      <w:r>
        <w:rPr>
          <w:sz w:val="17"/>
        </w:rPr>
        <w:t>Ανακοίνωση για την ανάκτηση κρατικών ενισχύσεων, σημεία 117 — 119.</w:t>
      </w:r>
    </w:p>
  </w:footnote>
  <w:footnote w:id="35">
    <w:p w14:paraId="0C31DA57" w14:textId="52979760" w:rsidR="00A32633" w:rsidRPr="00A32633" w:rsidRDefault="00A32633" w:rsidP="00A32633">
      <w:pPr>
        <w:spacing w:after="120"/>
        <w:ind w:left="25"/>
      </w:pPr>
      <w:r>
        <w:rPr>
          <w:rStyle w:val="FootnoteReference"/>
        </w:rPr>
        <w:footnoteRef/>
      </w:r>
      <w:r>
        <w:t xml:space="preserve"> </w:t>
      </w:r>
      <w:r>
        <w:rPr>
          <w:sz w:val="17"/>
        </w:rPr>
        <w:t xml:space="preserve">Οι αποφάσεις της Ευρωπαϊκής Επιτροπής για την έγκριση των χαρτών περιφερειακών ενισχύσεων των κρατών μελών είναι διαθέσιμες στην ιστοσελίδα: Χάρτες 2022 2027 </w:t>
      </w:r>
      <w:hyperlink r:id="rId17">
        <w:r w:rsidRPr="00A32633">
          <w:rPr>
            <w:sz w:val="17"/>
          </w:rPr>
          <w:t>https://competition-policy.ec.europa.eu/state-aid/legislation/modernisation/regional-aid/maps-2022-2027_en</w:t>
        </w:r>
      </w:hyperlink>
      <w:r w:rsidRPr="00A32633">
        <w:rPr>
          <w:sz w:val="17"/>
        </w:rPr>
        <w:t xml:space="preserve"> </w:t>
      </w:r>
      <w:hyperlink r:id="rId18">
        <w:r w:rsidRPr="00A32633">
          <w:rPr>
            <w:sz w:val="17"/>
          </w:rPr>
          <w:t>Ευρωπαϊκή Επιτροπή (europa.eu)</w:t>
        </w:r>
      </w:hyperlink>
      <w:r w:rsidRPr="00A32633">
        <w:rPr>
          <w:sz w:val="17"/>
        </w:rPr>
        <w:t xml:space="preserve"> &gt;. Ενδέχεται να υπάρχουν πολλές αποφάσεις της ΕΚ που έχουν εκδοθεί για την έγκριση/τροποποίηση του χάρτη περιφερειακών ενισχύσεων για ένα κράτος μέλος.</w:t>
      </w:r>
      <w:r>
        <w:rPr>
          <w:sz w:val="17"/>
          <w:lang w:val="el-GR"/>
        </w:rPr>
        <w:t xml:space="preserve"> </w:t>
      </w:r>
    </w:p>
  </w:footnote>
  <w:footnote w:id="36">
    <w:p w14:paraId="5256B329" w14:textId="31180443" w:rsidR="00A32633" w:rsidRPr="003C03A9" w:rsidRDefault="00A32633">
      <w:pPr>
        <w:pStyle w:val="FootnoteText"/>
        <w:rPr>
          <w:sz w:val="17"/>
        </w:rPr>
      </w:pPr>
      <w:r>
        <w:rPr>
          <w:rStyle w:val="FootnoteReference"/>
        </w:rPr>
        <w:footnoteRef/>
      </w:r>
      <w:r>
        <w:t xml:space="preserve"> </w:t>
      </w:r>
      <w:r>
        <w:rPr>
          <w:sz w:val="17"/>
        </w:rPr>
        <w:t>«καθεστώς κρατικών ενισχύσεων»: κάθε πράξη βάσει της οποίας, χωρίς να απαιτούνται περαιτέρω εκτελεστικά μέτρα, μπορούν να χορηγούνται μεμονωμένες ενισχύσεις σε επιχειρήσεις που ορίζονται στην πράξη κατά τρόπο γενικό και αφηρημένο και κάθε πράξη βάσει της οποίας μπορεί να χορηγηθεί ενίσχυση που δεν συνδέεται με συγκεκριμένο σχέδιο σε μία ή περισσότερες επιχειρήσεις για αόριστο χρονικό διάστημα ή/και για απροσδιόριστο ποσό (ΓΚΑΚ, άρθρο 2, παράγραφος 15).</w:t>
      </w:r>
    </w:p>
  </w:footnote>
  <w:footnote w:id="37">
    <w:p w14:paraId="6193C047" w14:textId="65C65F36" w:rsidR="003C03A9" w:rsidRPr="003C03A9" w:rsidRDefault="003C03A9" w:rsidP="003C03A9">
      <w:pPr>
        <w:spacing w:after="120"/>
        <w:ind w:left="25"/>
        <w:rPr>
          <w:sz w:val="17"/>
        </w:rPr>
      </w:pPr>
      <w:r>
        <w:rPr>
          <w:rStyle w:val="FootnoteReference"/>
        </w:rPr>
        <w:footnoteRef/>
      </w:r>
      <w:r>
        <w:t xml:space="preserve"> </w:t>
      </w:r>
      <w:r>
        <w:rPr>
          <w:sz w:val="17"/>
        </w:rPr>
        <w:t>«</w:t>
      </w:r>
      <w:r w:rsidRPr="003C03A9">
        <w:rPr>
          <w:sz w:val="17"/>
        </w:rPr>
        <w:t>ενίσχυση ad hoc</w:t>
      </w:r>
      <w:r>
        <w:rPr>
          <w:sz w:val="17"/>
        </w:rPr>
        <w:t>»: κρατική ενίσχυση που δεν χορηγείται βάσει καθεστώτος κρατικών ενισχύσεων (ΓΚΑΚ, άρθρο 2 παράγραφος 17)</w:t>
      </w:r>
    </w:p>
  </w:footnote>
  <w:footnote w:id="38">
    <w:p w14:paraId="66447A8D" w14:textId="77777777" w:rsidR="003C03A9" w:rsidRDefault="003C03A9" w:rsidP="003C03A9">
      <w:pPr>
        <w:spacing w:after="120"/>
        <w:ind w:left="25"/>
        <w:rPr>
          <w:sz w:val="17"/>
        </w:rPr>
      </w:pPr>
      <w:r>
        <w:rPr>
          <w:rStyle w:val="FootnoteReference"/>
        </w:rPr>
        <w:footnoteRef/>
      </w:r>
      <w:r>
        <w:t xml:space="preserve"> </w:t>
      </w:r>
      <w:r>
        <w:rPr>
          <w:sz w:val="17"/>
        </w:rPr>
        <w:t>Βλ. ορισμό του «προσαρμοσμένου ποσού ενίσχυσης» στον ΓΚΑΚ, άρθρο 2 παράγραφος 20</w:t>
      </w:r>
    </w:p>
    <w:p w14:paraId="55E09A93" w14:textId="6C1E699B" w:rsidR="003C03A9" w:rsidRPr="003C03A9" w:rsidRDefault="003C03A9">
      <w:pPr>
        <w:pStyle w:val="FootnoteText"/>
      </w:pPr>
    </w:p>
  </w:footnote>
  <w:footnote w:id="39">
    <w:p w14:paraId="33F8DCAC" w14:textId="77777777" w:rsidR="006453CB" w:rsidRDefault="006453CB" w:rsidP="006453CB">
      <w:pPr>
        <w:spacing w:after="120"/>
        <w:ind w:left="25" w:right="422"/>
        <w:jc w:val="both"/>
        <w:rPr>
          <w:sz w:val="17"/>
        </w:rPr>
      </w:pPr>
      <w:r>
        <w:rPr>
          <w:rStyle w:val="FootnoteReference"/>
        </w:rPr>
        <w:footnoteRef/>
      </w:r>
      <w:r>
        <w:t xml:space="preserve"> </w:t>
      </w:r>
      <w:r>
        <w:rPr>
          <w:sz w:val="17"/>
        </w:rPr>
        <w:t>«ίδια ή παρόμοια δραστηριότητα»: δραστηριότητα της ίδιας τάξης (τετραψήφιος αριθμητικός κωδικός) της στατιστικής ταξινόμησης οικονομικών δραστηριοτήτων της NACE αναθ. 2 (NACE αναθ. 2) (ΓΚΑΚ, άρθρο 2 παράγραφος 50)</w:t>
      </w:r>
    </w:p>
    <w:p w14:paraId="20ED4584" w14:textId="6D368295" w:rsidR="006453CB" w:rsidRPr="006453CB" w:rsidRDefault="006453CB">
      <w:pPr>
        <w:pStyle w:val="FootnoteText"/>
        <w:rPr>
          <w:lang w:val="el-GR"/>
        </w:rPr>
      </w:pPr>
    </w:p>
  </w:footnote>
  <w:footnote w:id="40">
    <w:p w14:paraId="16C77DC8" w14:textId="7F8942A1" w:rsidR="00C148A5" w:rsidRPr="00C148A5" w:rsidRDefault="00C148A5">
      <w:pPr>
        <w:pStyle w:val="FootnoteText"/>
        <w:rPr>
          <w:lang w:val="el-GR"/>
        </w:rPr>
      </w:pPr>
      <w:r>
        <w:rPr>
          <w:rStyle w:val="FootnoteReference"/>
        </w:rPr>
        <w:footnoteRef/>
      </w:r>
      <w:r>
        <w:t xml:space="preserve"> </w:t>
      </w:r>
      <w:r>
        <w:rPr>
          <w:sz w:val="17"/>
        </w:rPr>
        <w:t>«μετεγκατάσταση»: η μεταβίβαση της ίδιας ή παρεμφερούς δραστηριότητας ή μέρους αυτής από εγκατάσταση ενός συμβαλλόμενου μέρους της συμφωνίας ΕΟΧ (αρχική εγκατάσταση) στην εγκατάσταση στην οποία πραγματοποιείται η ενισχυόμενη επένδυση σε άλλο συμβαλλόμενο μέρος της συμφωνίας ΕΟΧ (βοηθούμενη εγκατάσταση). Υπάρχει μεταβίβαση εάν το προϊόν ή η υπηρεσία στην αρχική και στην ενισχυόμενη εγκατάσταση εξυπηρετεί τουλάχιστον εν μέρει τους ίδιους σκοπούς και ανταποκρίνεται στις απαιτήσεις ή τις ανάγκες του ίδιου τύπου πελατών και χάνονται θέσεις εργασίας στην ίδια ή παρόμοια δραστηριότητα σε μία από τις αρχικές εγκαταστάσεις του δικαιούχου στον ΕΟΧ (ΓΚΑΚ, άρθρο 2 παράγραφος 61α)</w:t>
      </w:r>
    </w:p>
  </w:footnote>
  <w:footnote w:id="41">
    <w:p w14:paraId="32E84900" w14:textId="3D670305" w:rsidR="00561E64" w:rsidRPr="00561E64" w:rsidRDefault="00561E64" w:rsidP="00A96ECB">
      <w:pPr>
        <w:spacing w:after="120"/>
        <w:ind w:left="25" w:right="415"/>
        <w:jc w:val="both"/>
      </w:pPr>
      <w:r>
        <w:rPr>
          <w:rStyle w:val="FootnoteReference"/>
        </w:rPr>
        <w:footnoteRef/>
      </w:r>
      <w:r>
        <w:t xml:space="preserve"> </w:t>
      </w:r>
      <w:r>
        <w:rPr>
          <w:sz w:val="17"/>
        </w:rPr>
        <w:t xml:space="preserve">Διευκρινίσεις παρέχονται ως απαντήσεις στις ερωτήσεις που έθεσε η Κροατία στις 21.9.2023 και η Πολωνία στις 08.12.2023 </w:t>
      </w:r>
      <w:bookmarkStart w:id="22" w:name="_bookmark55"/>
      <w:bookmarkEnd w:id="22"/>
      <w:r>
        <w:rPr>
          <w:sz w:val="17"/>
        </w:rPr>
        <w:t>(στις οποίες η Ευρωπαϊκή Επιτροπή απάντησε αναλόγως στις 19.2.2024 και 20.3.2024).</w:t>
      </w:r>
    </w:p>
  </w:footnote>
  <w:footnote w:id="42">
    <w:p w14:paraId="78E56794" w14:textId="74608924" w:rsidR="00A96ECB" w:rsidRPr="00A96ECB" w:rsidRDefault="00A96ECB" w:rsidP="00A96ECB">
      <w:pPr>
        <w:spacing w:after="120"/>
        <w:ind w:left="25" w:right="417"/>
        <w:jc w:val="both"/>
      </w:pPr>
      <w:r>
        <w:rPr>
          <w:rStyle w:val="FootnoteReference"/>
        </w:rPr>
        <w:footnoteRef/>
      </w:r>
      <w:r>
        <w:t xml:space="preserve"> </w:t>
      </w:r>
      <w:r>
        <w:rPr>
          <w:color w:val="E26C09"/>
          <w:sz w:val="17"/>
        </w:rPr>
        <w:t xml:space="preserve">Νομική βάση διαθέσιμη στην ιστοσελίδα: </w:t>
      </w:r>
      <w:hyperlink r:id="rId19">
        <w:r>
          <w:rPr>
            <w:color w:val="0000BE"/>
            <w:sz w:val="17"/>
            <w:u w:val="single" w:color="0000BE"/>
          </w:rPr>
          <w:t>https://likumi.lv/ta/id/350819</w:t>
        </w:r>
      </w:hyperlink>
      <w:r>
        <w:rPr>
          <w:color w:val="0000BE"/>
          <w:sz w:val="17"/>
        </w:rPr>
        <w:t xml:space="preserve"> </w:t>
      </w:r>
      <w:r>
        <w:rPr>
          <w:color w:val="E26C09"/>
          <w:sz w:val="17"/>
        </w:rPr>
        <w:t xml:space="preserve">και σχολιασμός (επεξηγήσεις σχετικά με την αναγκαιότητα του καθεστώτος) διαθέσιμες στην ιστοσελίδα: </w:t>
      </w:r>
      <w:hyperlink r:id="rId20">
        <w:r>
          <w:rPr>
            <w:color w:val="0000BE"/>
            <w:sz w:val="17"/>
            <w:u w:val="single" w:color="0000BE"/>
          </w:rPr>
          <w:t>https://tapportals.mk.gov.lv/annotation/c7b48eb3-0a54-49f8-ad78-beee5944f5be</w:t>
        </w:r>
      </w:hyperlink>
      <w:r>
        <w:rPr>
          <w:color w:val="0000BE"/>
          <w:sz w:val="17"/>
        </w:rPr>
        <w:t xml:space="preserve"> </w:t>
      </w:r>
      <w:r>
        <w:rPr>
          <w:color w:val="E26C09"/>
          <w:sz w:val="17"/>
        </w:rPr>
        <w:t>[στα λετονικά, επιλέξιμα για αυτόματη μετάφραση]</w:t>
      </w:r>
      <w:r>
        <w:rPr>
          <w:color w:val="E26C09"/>
          <w:sz w:val="17"/>
          <w:lang w:val="el-GR"/>
        </w:rPr>
        <w:t xml:space="preserve"> </w:t>
      </w:r>
    </w:p>
  </w:footnote>
  <w:footnote w:id="43">
    <w:p w14:paraId="7D304E7B" w14:textId="0414679B" w:rsidR="00A96ECB" w:rsidRPr="00A96ECB" w:rsidRDefault="00A96ECB" w:rsidP="00A96ECB">
      <w:pPr>
        <w:spacing w:after="120"/>
        <w:ind w:left="25" w:right="416"/>
        <w:jc w:val="both"/>
      </w:pPr>
      <w:r>
        <w:rPr>
          <w:rStyle w:val="FootnoteReference"/>
        </w:rPr>
        <w:footnoteRef/>
      </w:r>
      <w:r>
        <w:t xml:space="preserve"> </w:t>
      </w:r>
      <w:r>
        <w:rPr>
          <w:color w:val="E26C09"/>
          <w:sz w:val="17"/>
        </w:rPr>
        <w:t xml:space="preserve">Νομική βάση διαθέσιμη στην ιστοσελίδα: </w:t>
      </w:r>
      <w:hyperlink r:id="rId21">
        <w:r>
          <w:rPr>
            <w:color w:val="0000BE"/>
            <w:sz w:val="17"/>
            <w:u w:val="single" w:color="0000BE"/>
          </w:rPr>
          <w:t>https://likumi.lv/ta/id/355002</w:t>
        </w:r>
      </w:hyperlink>
      <w:r>
        <w:rPr>
          <w:color w:val="0000BE"/>
          <w:sz w:val="17"/>
        </w:rPr>
        <w:t xml:space="preserve"> </w:t>
      </w:r>
      <w:r>
        <w:rPr>
          <w:color w:val="E26C09"/>
          <w:sz w:val="17"/>
        </w:rPr>
        <w:t xml:space="preserve">και σχολιασμός (επεξηγήσεις σχετικά με την αναγκαιότητα του καθεστώτος) διαθέσιμες στην ιστοσελίδα: </w:t>
      </w:r>
      <w:hyperlink r:id="rId22">
        <w:r>
          <w:rPr>
            <w:color w:val="0000BE"/>
            <w:sz w:val="17"/>
            <w:u w:val="single" w:color="0000BE"/>
          </w:rPr>
          <w:t>https://tapportals.mk.gov.lv/annotation/5f7ca2b9-27a7-4f87-99fa-eec0d2e10d49</w:t>
        </w:r>
      </w:hyperlink>
      <w:r>
        <w:rPr>
          <w:color w:val="0000BE"/>
          <w:sz w:val="17"/>
        </w:rPr>
        <w:t xml:space="preserve"> </w:t>
      </w:r>
      <w:r>
        <w:rPr>
          <w:color w:val="E26C09"/>
          <w:sz w:val="17"/>
        </w:rPr>
        <w:t>[στα λετονικά, επιλέξιμα για αυτόματη μετάφραση]</w:t>
      </w:r>
      <w:r>
        <w:rPr>
          <w:color w:val="E26C09"/>
          <w:sz w:val="17"/>
          <w:lang w:val="el-GR"/>
        </w:rPr>
        <w:t xml:space="preserve"> </w:t>
      </w:r>
    </w:p>
  </w:footnote>
  <w:footnote w:id="44">
    <w:p w14:paraId="2797E721" w14:textId="207A7C11" w:rsidR="003A4D3F" w:rsidRPr="003A4D3F" w:rsidRDefault="003A4D3F">
      <w:pPr>
        <w:pStyle w:val="FootnoteText"/>
        <w:rPr>
          <w:lang w:val="el-GR"/>
        </w:rPr>
      </w:pPr>
      <w:r>
        <w:rPr>
          <w:rStyle w:val="FootnoteReference"/>
        </w:rPr>
        <w:footnoteRef/>
      </w:r>
      <w:r>
        <w:t xml:space="preserve"> </w:t>
      </w:r>
      <w:r>
        <w:rPr>
          <w:sz w:val="17"/>
        </w:rPr>
        <w:t>ΓΚΑΚ, άρθρο 47 παράγραφος 7 στοιχείο β)</w:t>
      </w:r>
    </w:p>
  </w:footnote>
  <w:footnote w:id="45">
    <w:p w14:paraId="3FE4B218" w14:textId="1FC99D5C" w:rsidR="005E3B7D" w:rsidRPr="005E3B7D" w:rsidRDefault="005E3B7D">
      <w:pPr>
        <w:pStyle w:val="FootnoteText"/>
        <w:rPr>
          <w:lang w:val="el-GR"/>
        </w:rPr>
      </w:pPr>
      <w:r>
        <w:rPr>
          <w:rStyle w:val="FootnoteReference"/>
        </w:rPr>
        <w:footnoteRef/>
      </w:r>
      <w:r>
        <w:t xml:space="preserve"> </w:t>
      </w:r>
      <w:r>
        <w:rPr>
          <w:sz w:val="17"/>
        </w:rPr>
        <w:t>Εάν η ανάκτηση και η επεξεργασία των αποβλήτων πραγματοποιείται εντός ενός και μόνο φορέα, είναι δυνατόν να μειωθούν οι επιπτώσεις των διακυμάνσεων των τιμών μέσω της διασταυρούμενης επιδότησης μεταξύ των διαφόρων δραστηριοτήτων (όπως ασκείται από ιδιωτικούς φορείς της αγοράς). Μια τέτοια διασταυρούμενη επιδότηση δεν θα ήταν δυνατή όταν η επεξεργασία των αποβλήτων (διαλογή) υπόκειται σε ΥΓΟΣ. Τα έσοδα από τις ΥΓΟΣ δεν μπορούν να μεταφερθούν για την αντιστάθμιση ζημιών άλλων δραστηριοτήτων</w:t>
      </w:r>
    </w:p>
  </w:footnote>
  <w:footnote w:id="46">
    <w:p w14:paraId="32F1A784" w14:textId="77777777" w:rsidR="00FC483C" w:rsidRDefault="00FC483C" w:rsidP="00FC483C">
      <w:pPr>
        <w:spacing w:after="120"/>
        <w:ind w:left="25"/>
        <w:jc w:val="both"/>
        <w:rPr>
          <w:sz w:val="17"/>
        </w:rPr>
      </w:pPr>
      <w:r>
        <w:rPr>
          <w:rStyle w:val="FootnoteReference"/>
        </w:rPr>
        <w:footnoteRef/>
      </w:r>
      <w:r>
        <w:t xml:space="preserve"> </w:t>
      </w:r>
      <w:r>
        <w:rPr>
          <w:sz w:val="17"/>
        </w:rPr>
        <w:t>Π.χ.:</w:t>
      </w:r>
    </w:p>
    <w:p w14:paraId="6565E598" w14:textId="1E727C18" w:rsidR="00FC483C" w:rsidRDefault="00FC483C" w:rsidP="00FC483C">
      <w:pPr>
        <w:pStyle w:val="P68B1DB1-a527"/>
        <w:numPr>
          <w:ilvl w:val="1"/>
          <w:numId w:val="25"/>
        </w:numPr>
        <w:tabs>
          <w:tab w:val="left" w:pos="744"/>
          <w:tab w:val="left" w:pos="746"/>
        </w:tabs>
        <w:spacing w:after="120"/>
        <w:ind w:right="415"/>
        <w:rPr>
          <w:rFonts w:ascii="Symbol" w:hAnsi="Symbol"/>
        </w:rPr>
      </w:pPr>
      <w:r>
        <w:t>18.01.2021, οι ουγγρικές αρχές ζήτησαν διευκρινίσεις σχετικά με το κατά πόσον ο ΓΚΑΚ, το άρθρο 56, μπορεί να εφαρμοστεί σε έργα αποθήκευσης ηλεκτρικής ενέργειας και φυσικού αερίου και σε υποδομές πετρελαίου. Κατά την άποψη των ουγγρικών αρχών, οι αναφερόμενες υποδομές δεν καλύπτονται από τον ΓΚΑΚ, το άρθρο 48, επομένως, θα μπορούσε να χορηγηθεί κρατική ενίσχυση για τέτοιες επενδύσεις σύμφωνα με το άρθρο 56 του ΓΚΑΚ. Η ΕΚ στην απάντησή της της 1.10.2024 εξήγησε ότι οι ενεργειακές υποδομές καλύπτονται από τον</w:t>
      </w:r>
      <w:r w:rsidRPr="00FC483C">
        <w:t xml:space="preserve"> </w:t>
      </w:r>
      <w:r>
        <w:t>ΓΚΑΚ, άρθρο 48, Επομένως, το άρθρο 56 δεν εφαρμόζεται στις ενεργειακές υποδομές, ανεξάρτητα από το αν απαλλάσσονται βάσει του ΓΚΑΚ, άρθρο 48.</w:t>
      </w:r>
    </w:p>
    <w:p w14:paraId="501D6A97" w14:textId="2BCBC7D2" w:rsidR="00FC483C" w:rsidRPr="00FC483C" w:rsidRDefault="00FC483C" w:rsidP="0013045D">
      <w:pPr>
        <w:pStyle w:val="P68B1DB1-a527"/>
        <w:numPr>
          <w:ilvl w:val="1"/>
          <w:numId w:val="25"/>
        </w:numPr>
        <w:tabs>
          <w:tab w:val="left" w:pos="744"/>
          <w:tab w:val="left" w:pos="746"/>
        </w:tabs>
        <w:spacing w:after="120"/>
        <w:ind w:right="415"/>
      </w:pPr>
      <w:r>
        <w:t xml:space="preserve">07.10.2021, οι εσθονικές αρχές ζήτησαν διευκρινίσεις σχετικά με το κατά πόσον ο ΓΚΑΚ, το άρθρο 56, μπορεί να εφαρμοστεί σε υποδομές ανεφοδιασμού που προμηθεύουν οχήματα με ανανεώσιμο υδρογόνο, δεδομένου ότι ο νέος ΓΚΑΚ, το άρθρο 36α έχει εισαχθεί για τη στήριξη επενδύσεων για προσβάσιμες στο κοινό υποδομές επαναφόρτισης ή ανεφοδιασμού για οδικά οχήματα μηδενικών και χαμηλών εκπομπών. Η Ευρωπαϊκή Επιτροπή στην απάντησή της της 6.5.2022 διευκρίνισε ότι </w:t>
      </w:r>
      <w:r w:rsidRPr="00E109A2">
        <w:rPr>
          <w:rFonts w:ascii="Arial" w:hAnsi="Arial"/>
          <w:b/>
          <w:i/>
        </w:rPr>
        <w:t xml:space="preserve">«το άρθρο 56 παράγραφος 2 του ΓΚΑΚ, σε συνδυασμό με το άρθρο 36α του ΓΚΑΚ, προβλέπει ότι, από την εισαγωγή του ΓΚΑΚ, το άρθρο 36α του ΓΚΑΚ δεν εφαρμόζεται πλέον στις ενισχύσεις για προσβάσιμες στο κοινό υποδομές επαναφόρτισης και </w:t>
      </w:r>
      <w:bookmarkStart w:id="24" w:name="_bookmark61"/>
      <w:bookmarkEnd w:id="24"/>
      <w:r w:rsidRPr="00E109A2">
        <w:rPr>
          <w:rFonts w:ascii="Arial" w:hAnsi="Arial"/>
          <w:b/>
          <w:i/>
        </w:rPr>
        <w:t>ανεφοδιασμού».</w:t>
      </w:r>
      <w:r w:rsidR="00E109A2" w:rsidRPr="00E109A2">
        <w:rPr>
          <w:rFonts w:ascii="Arial" w:hAnsi="Arial"/>
          <w:b/>
          <w:i/>
          <w:lang w:val="el-GR"/>
        </w:rPr>
        <w:t xml:space="preserve"> </w:t>
      </w:r>
    </w:p>
  </w:footnote>
  <w:footnote w:id="47">
    <w:p w14:paraId="428D1D04" w14:textId="29C73F3A" w:rsidR="00E109A2" w:rsidRPr="00E109A2" w:rsidRDefault="00E109A2">
      <w:pPr>
        <w:pStyle w:val="FootnoteText"/>
        <w:rPr>
          <w:sz w:val="17"/>
        </w:rPr>
      </w:pPr>
      <w:r>
        <w:rPr>
          <w:rStyle w:val="FootnoteReference"/>
        </w:rPr>
        <w:footnoteRef/>
      </w:r>
      <w:r>
        <w:t xml:space="preserve"> </w:t>
      </w:r>
      <w:r>
        <w:rPr>
          <w:sz w:val="17"/>
        </w:rPr>
        <w:t xml:space="preserve">Σε απάντηση στο ερώτημα των γερμανικών αρχών (ερώτηση της 9.2.2017), η Ευρωπαϊκή </w:t>
      </w:r>
      <w:r w:rsidRPr="00E109A2">
        <w:rPr>
          <w:sz w:val="17"/>
        </w:rPr>
        <w:t>Επιτροπή διευκρίνισε «ότι ένα</w:t>
      </w:r>
      <w:r>
        <w:rPr>
          <w:sz w:val="17"/>
          <w:lang w:val="el-GR"/>
        </w:rPr>
        <w:t>ς</w:t>
      </w:r>
      <w:r w:rsidRPr="00E109A2">
        <w:rPr>
          <w:sz w:val="17"/>
        </w:rPr>
        <w:t xml:space="preserve"> εσωτερικό</w:t>
      </w:r>
      <w:r>
        <w:rPr>
          <w:sz w:val="17"/>
          <w:lang w:val="el-GR"/>
        </w:rPr>
        <w:t>ς</w:t>
      </w:r>
      <w:r w:rsidRPr="00E109A2">
        <w:rPr>
          <w:sz w:val="17"/>
        </w:rPr>
        <w:t xml:space="preserve"> φορέας εκμετάλλευσης βάσει των κανόνων της ΕΕ για τις δημόσιες συμβάσεις δεν θα μπορούσε να χαρακτηριστεί ως «τρίτος» για τους σκοπούς του ΓΚΑΚ, άρθρο 56 παράγραφος 4» (απάντηση της 24.2.2017)</w:t>
      </w:r>
    </w:p>
  </w:footnote>
  <w:footnote w:id="48">
    <w:p w14:paraId="4F2104E4" w14:textId="2061C074" w:rsidR="00FC486F" w:rsidRPr="00FC486F" w:rsidRDefault="00FC486F">
      <w:pPr>
        <w:pStyle w:val="FootnoteText"/>
        <w:rPr>
          <w:lang w:val="el-GR"/>
        </w:rPr>
      </w:pPr>
      <w:r>
        <w:rPr>
          <w:rStyle w:val="FootnoteReference"/>
        </w:rPr>
        <w:footnoteRef/>
      </w:r>
      <w:r>
        <w:t xml:space="preserve"> </w:t>
      </w:r>
      <w:r>
        <w:rPr>
          <w:sz w:val="17"/>
        </w:rPr>
        <w:t>ΓΚΑΚ, παράρτημα I, άρθρο 4.</w:t>
      </w:r>
    </w:p>
  </w:footnote>
  <w:footnote w:id="49">
    <w:p w14:paraId="1CABE795" w14:textId="4D08B8F8" w:rsidR="00672B4E" w:rsidRPr="00672B4E" w:rsidRDefault="00672B4E" w:rsidP="006E5E79">
      <w:pPr>
        <w:spacing w:after="120"/>
        <w:ind w:left="25" w:right="425"/>
        <w:jc w:val="both"/>
      </w:pPr>
      <w:r>
        <w:rPr>
          <w:rStyle w:val="FootnoteReference"/>
        </w:rPr>
        <w:footnoteRef/>
      </w:r>
      <w:r>
        <w:t xml:space="preserve"> </w:t>
      </w:r>
      <w:r>
        <w:rPr>
          <w:sz w:val="17"/>
        </w:rPr>
        <w:t>Κατά τον ΓΚΑΚ, το άρθρο 2, σημείο 23, ως</w:t>
      </w:r>
      <w:r>
        <w:rPr>
          <w:rFonts w:ascii="Arial" w:hAnsi="Arial"/>
          <w:i/>
          <w:sz w:val="17"/>
        </w:rPr>
        <w:t>«έναρξη εργασιών» σημαίνει είτε την έναρξη των κατασκευαστικών εργασιών που αφορούν την επένδυση είτε την πρώτη νομικά δεσμευτική υποχρέωση παραγγελίας εξοπλισμού ή κάθε άλλη δέσμευση που καθιστά την επένδυση μη αναστρέψιμη. Η αγορά γης και οι προπαρασκευαστικές εργασίες, όπως η απόκτηση αδειών και η διεξαγωγή μελετών σκοπιμότητας, δεν θεωρούνται έναρξη εργασιών. Για τις εξαγορές, ως «έναρξη εργασιών» νοείται η στιγμή της απόκτησης των περιουσιακών στοιχείων που συνδέονται άμεσα με την κτηθείσα εγκατάσταση»</w:t>
      </w:r>
      <w:r>
        <w:rPr>
          <w:sz w:val="17"/>
        </w:rPr>
        <w:t>.</w:t>
      </w:r>
    </w:p>
  </w:footnote>
  <w:footnote w:id="50">
    <w:p w14:paraId="3987D39F" w14:textId="3B388CF5" w:rsidR="006E5E79" w:rsidRPr="006E5E79" w:rsidRDefault="006E5E79" w:rsidP="006E5E79">
      <w:pPr>
        <w:spacing w:after="120"/>
        <w:ind w:left="25" w:right="287"/>
        <w:jc w:val="both"/>
        <w:rPr>
          <w:rFonts w:ascii="Arial" w:hAnsi="Arial"/>
          <w:i/>
          <w:sz w:val="17"/>
        </w:rPr>
      </w:pPr>
      <w:r>
        <w:rPr>
          <w:rStyle w:val="FootnoteReference"/>
        </w:rPr>
        <w:footnoteRef/>
      </w:r>
      <w:r>
        <w:t xml:space="preserve"> </w:t>
      </w:r>
      <w:r w:rsidRPr="006E5E79">
        <w:rPr>
          <w:rFonts w:ascii="Arial" w:hAnsi="Arial"/>
          <w:i/>
          <w:sz w:val="17"/>
        </w:rPr>
        <w:t>ΓΚΑΚ, το άρθρο 6 παράγραφος 2 ορίζει τα εξής:</w:t>
      </w:r>
      <w:r w:rsidRPr="006E5E79">
        <w:rPr>
          <w:rFonts w:ascii="Arial" w:hAnsi="Arial"/>
          <w:i/>
          <w:sz w:val="17"/>
        </w:rPr>
        <w:t xml:space="preserve"> </w:t>
      </w:r>
      <w:r w:rsidRPr="006E5E79">
        <w:rPr>
          <w:rFonts w:ascii="Arial" w:hAnsi="Arial"/>
          <w:i/>
          <w:sz w:val="17"/>
        </w:rPr>
        <w:t>«2. Η ενίσχυση θεωρείται ότι έχει χαρακτήρα κινήτρου εάν ο δικαιούχος έχει υποβάλει γραπτή αίτηση ενίσχυσης στο οικείο κράτος μέλος πριν από την έναρξη των εργασιών για το σχέδιο ή τη δραστηριότητα. Η αίτηση ενίσχυσης περιλαμβάνει τουλάχιστον τα ακόλουθα στοιχεία:</w:t>
      </w:r>
    </w:p>
    <w:p w14:paraId="2ACE4338" w14:textId="77777777" w:rsidR="006E5E79" w:rsidRPr="006E5E79" w:rsidRDefault="006E5E79" w:rsidP="006E5E79">
      <w:pPr>
        <w:pStyle w:val="P68B1DB1-a523"/>
        <w:numPr>
          <w:ilvl w:val="1"/>
          <w:numId w:val="16"/>
        </w:numPr>
        <w:tabs>
          <w:tab w:val="left" w:pos="296"/>
        </w:tabs>
        <w:spacing w:after="120"/>
        <w:ind w:hanging="271"/>
        <w:rPr>
          <w:rFonts w:hAnsi="Arial"/>
        </w:rPr>
      </w:pPr>
      <w:r w:rsidRPr="006E5E79">
        <w:rPr>
          <w:rFonts w:hAnsi="Arial"/>
        </w:rPr>
        <w:t>το όνομα και το μέγεθος της επιχείρησης.</w:t>
      </w:r>
    </w:p>
    <w:p w14:paraId="45F5879F" w14:textId="77777777" w:rsidR="006E5E79" w:rsidRPr="006E5E79" w:rsidRDefault="006E5E79" w:rsidP="006E5E79">
      <w:pPr>
        <w:pStyle w:val="P68B1DB1-a523"/>
        <w:numPr>
          <w:ilvl w:val="1"/>
          <w:numId w:val="16"/>
        </w:numPr>
        <w:tabs>
          <w:tab w:val="left" w:pos="296"/>
        </w:tabs>
        <w:spacing w:after="120"/>
        <w:ind w:hanging="271"/>
        <w:rPr>
          <w:rFonts w:hAnsi="Arial"/>
        </w:rPr>
      </w:pPr>
      <w:r w:rsidRPr="006E5E79">
        <w:rPr>
          <w:rFonts w:hAnsi="Arial"/>
        </w:rPr>
        <w:t>περιγραφή του έργου, συμπεριλαμβανομένων των ημερομηνιών έναρξης και λήξης του.</w:t>
      </w:r>
    </w:p>
    <w:p w14:paraId="7760B527" w14:textId="77777777" w:rsidR="006E5E79" w:rsidRPr="006E5E79" w:rsidRDefault="006E5E79" w:rsidP="006E5E79">
      <w:pPr>
        <w:pStyle w:val="P68B1DB1-a523"/>
        <w:numPr>
          <w:ilvl w:val="1"/>
          <w:numId w:val="16"/>
        </w:numPr>
        <w:tabs>
          <w:tab w:val="left" w:pos="295"/>
        </w:tabs>
        <w:spacing w:after="120"/>
        <w:ind w:left="295" w:hanging="270"/>
        <w:rPr>
          <w:rFonts w:hAnsi="Arial"/>
        </w:rPr>
      </w:pPr>
      <w:r w:rsidRPr="006E5E79">
        <w:rPr>
          <w:rFonts w:hAnsi="Arial"/>
        </w:rPr>
        <w:t>τοποθεσία του έργου.</w:t>
      </w:r>
    </w:p>
    <w:p w14:paraId="54128391" w14:textId="77777777" w:rsidR="006E5E79" w:rsidRPr="006E5E79" w:rsidRDefault="006E5E79" w:rsidP="006E5E79">
      <w:pPr>
        <w:pStyle w:val="P68B1DB1-a523"/>
        <w:numPr>
          <w:ilvl w:val="1"/>
          <w:numId w:val="16"/>
        </w:numPr>
        <w:tabs>
          <w:tab w:val="left" w:pos="296"/>
        </w:tabs>
        <w:spacing w:after="120"/>
        <w:ind w:hanging="271"/>
        <w:rPr>
          <w:rFonts w:hAnsi="Arial"/>
        </w:rPr>
      </w:pPr>
      <w:r w:rsidRPr="006E5E79">
        <w:rPr>
          <w:rFonts w:hAnsi="Arial"/>
        </w:rPr>
        <w:t>κατάλογος δαπανών έργων.</w:t>
      </w:r>
    </w:p>
    <w:p w14:paraId="0369F79B" w14:textId="061F2EFA" w:rsidR="006E5E79" w:rsidRPr="006E5E79" w:rsidRDefault="006E5E79" w:rsidP="006E5E79">
      <w:pPr>
        <w:pStyle w:val="FootnoteText"/>
        <w:rPr>
          <w:rFonts w:ascii="Arial" w:hAnsi="Arial"/>
          <w:i/>
          <w:sz w:val="17"/>
        </w:rPr>
      </w:pPr>
      <w:r w:rsidRPr="006E5E79">
        <w:rPr>
          <w:rFonts w:ascii="Arial" w:hAnsi="Arial"/>
          <w:i/>
          <w:sz w:val="17"/>
          <w:lang w:val="el-GR"/>
        </w:rPr>
        <w:t>(</w:t>
      </w:r>
      <w:r>
        <w:rPr>
          <w:rFonts w:ascii="Arial" w:hAnsi="Arial"/>
          <w:i/>
          <w:sz w:val="17"/>
          <w:lang w:val="en-GB"/>
        </w:rPr>
        <w:t>e</w:t>
      </w:r>
      <w:r w:rsidRPr="006E5E79">
        <w:rPr>
          <w:rFonts w:ascii="Arial" w:hAnsi="Arial"/>
          <w:i/>
          <w:sz w:val="17"/>
          <w:lang w:val="el-GR"/>
        </w:rPr>
        <w:t xml:space="preserve"> </w:t>
      </w:r>
      <w:r w:rsidRPr="006E5E79">
        <w:rPr>
          <w:rFonts w:ascii="Arial" w:hAnsi="Arial"/>
          <w:i/>
          <w:sz w:val="17"/>
        </w:rPr>
        <w:t>είδος ενίσχυσης (επιχορήγηση, δάνειο, εγγύηση, επιστρεπτέα προκαταβολή, εισφορά μετοχικού κεφαλαίου ή άλλο) και ποσό της δημόσιας χρηματοδότησης που απαιτείται για το έργο.»</w:t>
      </w:r>
    </w:p>
  </w:footnote>
  <w:footnote w:id="51">
    <w:p w14:paraId="07500332" w14:textId="77777777" w:rsidR="008E2E8B" w:rsidRDefault="008E2E8B" w:rsidP="008E2E8B">
      <w:pPr>
        <w:spacing w:after="120"/>
        <w:ind w:left="25"/>
        <w:rPr>
          <w:sz w:val="17"/>
        </w:rPr>
      </w:pPr>
      <w:r>
        <w:rPr>
          <w:rStyle w:val="FootnoteReference"/>
        </w:rPr>
        <w:footnoteRef/>
      </w:r>
      <w:r>
        <w:t xml:space="preserve"> </w:t>
      </w:r>
      <w:r>
        <w:rPr>
          <w:sz w:val="17"/>
        </w:rPr>
        <w:t>Για παράδειγμα, το σκεπτικό που παρατίθεται στην απόφαση του Δικαστηρίου στην υπόθεση C-138/11 μπορεί να χρησιμοποιηθεί σε επιχειρήματα.</w:t>
      </w:r>
    </w:p>
    <w:p w14:paraId="0A692A74" w14:textId="23973922" w:rsidR="008E2E8B" w:rsidRPr="008E2E8B" w:rsidRDefault="008E2E8B">
      <w:pPr>
        <w:pStyle w:val="FootnoteText"/>
      </w:pPr>
    </w:p>
  </w:footnote>
  <w:footnote w:id="52">
    <w:p w14:paraId="33AA0A46" w14:textId="665B7A62" w:rsidR="008E2E8B" w:rsidRPr="008E2E8B" w:rsidRDefault="008E2E8B">
      <w:pPr>
        <w:pStyle w:val="FootnoteText"/>
        <w:rPr>
          <w:lang w:val="el-GR"/>
        </w:rPr>
      </w:pPr>
      <w:r>
        <w:rPr>
          <w:rStyle w:val="FootnoteReference"/>
        </w:rPr>
        <w:footnoteRef/>
      </w:r>
      <w:r>
        <w:t xml:space="preserve"> </w:t>
      </w:r>
      <w:r>
        <w:rPr>
          <w:sz w:val="17"/>
        </w:rPr>
        <w:t xml:space="preserve">Ειδήσεις της Ευρωπαϊκής Επιτροπής για τον Τύπο: </w:t>
      </w:r>
      <w:hyperlink r:id="rId23">
        <w:r>
          <w:rPr>
            <w:color w:val="0000FF"/>
            <w:sz w:val="17"/>
            <w:u w:val="single" w:color="0000FF"/>
          </w:rPr>
          <w:t>Έρευνα για κρατικές ενισχύσεις όσον αφορά τις γαλλικές αντισταθμίσεις (europa.e</w:t>
        </w:r>
      </w:hyperlink>
      <w:r>
        <w:rPr>
          <w:color w:val="0000FF"/>
          <w:sz w:val="17"/>
          <w:u w:val="single" w:color="0000FF"/>
        </w:rPr>
        <w:t>u)</w:t>
      </w:r>
    </w:p>
  </w:footnote>
  <w:footnote w:id="53">
    <w:p w14:paraId="76E70C5B" w14:textId="77777777" w:rsidR="000D0834" w:rsidRDefault="000D0834" w:rsidP="000D0834">
      <w:pPr>
        <w:spacing w:after="120"/>
        <w:ind w:left="25"/>
        <w:rPr>
          <w:sz w:val="17"/>
        </w:rPr>
      </w:pPr>
      <w:r>
        <w:rPr>
          <w:rStyle w:val="FootnoteReference"/>
        </w:rPr>
        <w:footnoteRef/>
      </w:r>
      <w:r>
        <w:t xml:space="preserve"> </w:t>
      </w:r>
      <w:r>
        <w:rPr>
          <w:sz w:val="17"/>
        </w:rPr>
        <w:t>Πληροφορίες μπορούν να ληφθούν από έγγραφα:</w:t>
      </w:r>
    </w:p>
    <w:p w14:paraId="18D1F573" w14:textId="77777777" w:rsidR="000D0834" w:rsidRDefault="000D0834" w:rsidP="000D0834">
      <w:pPr>
        <w:pStyle w:val="P68B1DB1-a527"/>
        <w:numPr>
          <w:ilvl w:val="0"/>
          <w:numId w:val="7"/>
        </w:numPr>
        <w:tabs>
          <w:tab w:val="left" w:pos="746"/>
        </w:tabs>
        <w:spacing w:after="120"/>
        <w:ind w:right="400"/>
      </w:pPr>
      <w:r>
        <w:t xml:space="preserve">Αξιολόγηση έγκαιρης προειδοποίησης σχετικά με τους στόχους του 2025 για τα αστικά απόβλητα και τα απορρίμματα συσκευασίας — Ελλάδα, Ιούνιος 2022, Ευρωπαϊκός Οργανισμός Περιβάλλοντος. Πρόσβαση στην ιστοσελίδα: </w:t>
      </w:r>
      <w:hyperlink r:id="rId24">
        <w:r>
          <w:rPr>
            <w:color w:val="0000FF"/>
            <w:u w:val="single" w:color="0000FF"/>
          </w:rPr>
          <w:t>Αξιολόγηση έγκαιρης προειδοποίησης σχετικά με τους</w:t>
        </w:r>
      </w:hyperlink>
      <w:r>
        <w:rPr>
          <w:color w:val="0000FF"/>
        </w:rPr>
        <w:t xml:space="preserve"> </w:t>
      </w:r>
      <w:hyperlink r:id="rId25">
        <w:r>
          <w:rPr>
            <w:color w:val="0000FF"/>
            <w:u w:val="single" w:color="0000FF"/>
          </w:rPr>
          <w:t>στόχους του 2025 για τα αστικά απόβλητα και τα απορρίμματα συσκευασίας — Ευρωπαϊκός Οργανισμός Περιβάλλοντος (europa.eu)</w:t>
        </w:r>
      </w:hyperlink>
    </w:p>
    <w:p w14:paraId="06DBA61D" w14:textId="465D7B2E" w:rsidR="000D0834" w:rsidRPr="000D0834" w:rsidRDefault="000D0834" w:rsidP="000D0834">
      <w:pPr>
        <w:pStyle w:val="P68B1DB1-a527"/>
        <w:numPr>
          <w:ilvl w:val="0"/>
          <w:numId w:val="7"/>
        </w:numPr>
        <w:tabs>
          <w:tab w:val="left" w:pos="746"/>
        </w:tabs>
        <w:spacing w:after="120"/>
        <w:ind w:right="428"/>
      </w:pPr>
      <w:r>
        <w:t xml:space="preserve">Early Warning Reports 2023 — Greece, 8 Ιουνίου 2023, Ευρωπαϊκή Επιτροπή. Διατίθεται στην ιστοσελίδα: </w:t>
      </w:r>
      <w:hyperlink r:id="rId26">
        <w:r>
          <w:rPr>
            <w:color w:val="0000FF"/>
            <w:u w:val="single" w:color="0000FF"/>
          </w:rPr>
          <w:t>Εκθέσεις έγκαιρης προειδοποίησης για τα απόβλητα 2023 — ενημερωτικά δελτία ανά χώρα — Ευρωπαϊκή Επιτροπή (europa. eu</w:t>
        </w:r>
      </w:hyperlink>
      <w:r>
        <w:t>)</w:t>
      </w:r>
    </w:p>
  </w:footnote>
  <w:footnote w:id="54">
    <w:p w14:paraId="061CAC77" w14:textId="77777777" w:rsidR="00D27B95" w:rsidRDefault="00D27B95" w:rsidP="0020000D">
      <w:pPr>
        <w:ind w:left="25"/>
        <w:rPr>
          <w:sz w:val="17"/>
          <w:lang w:val="el-GR"/>
        </w:rPr>
      </w:pPr>
      <w:r>
        <w:rPr>
          <w:rStyle w:val="FootnoteReference"/>
        </w:rPr>
        <w:footnoteRef/>
      </w:r>
      <w:r>
        <w:t xml:space="preserve"> </w:t>
      </w:r>
      <w:r>
        <w:rPr>
          <w:sz w:val="17"/>
        </w:rPr>
        <w:t xml:space="preserve">Οι εξελίξεις στον ολλανδικό τομέα διαχείρισης αστικών αποβλήτων μπορούν να θεωρηθούν ως παράδειγμα. </w:t>
      </w:r>
    </w:p>
    <w:p w14:paraId="490077C4" w14:textId="473F38D3" w:rsidR="00D27B95" w:rsidRDefault="00D27B95" w:rsidP="0020000D">
      <w:pPr>
        <w:ind w:left="25"/>
        <w:rPr>
          <w:sz w:val="17"/>
        </w:rPr>
      </w:pPr>
      <w:r>
        <w:rPr>
          <w:sz w:val="17"/>
          <w:lang w:val="el-GR"/>
        </w:rPr>
        <w:t>Π</w:t>
      </w:r>
      <w:r>
        <w:rPr>
          <w:sz w:val="17"/>
        </w:rPr>
        <w:t>ληροφορίες μπορούν να ληφθούν από έγγραφα:</w:t>
      </w:r>
    </w:p>
    <w:p w14:paraId="31FF70BF" w14:textId="77777777" w:rsidR="00D27B95" w:rsidRDefault="00D27B95" w:rsidP="00305BF5">
      <w:pPr>
        <w:pStyle w:val="P68B1DB1-a527"/>
        <w:numPr>
          <w:ilvl w:val="1"/>
          <w:numId w:val="6"/>
        </w:numPr>
        <w:tabs>
          <w:tab w:val="left" w:pos="567"/>
        </w:tabs>
        <w:ind w:left="567" w:right="435" w:hanging="462"/>
      </w:pPr>
      <w:r>
        <w:t>Διαχείριση αστικών αποβλήτων στις Κάτω Χώρες, Φεβρουάριος 2013, Ευρωπαϊκός Οργανισμός Περιβάλλοντος (μπορεί να ληφθεί με τη χρήση των λέξεων αναζήτησης και αναζήτησης Google «Δημοτική διαχείριση αποβλήτων στις Κάτω Χώρες»).</w:t>
      </w:r>
    </w:p>
    <w:p w14:paraId="2F95215C" w14:textId="77777777" w:rsidR="00D27B95" w:rsidRDefault="00D27B95" w:rsidP="00305BF5">
      <w:pPr>
        <w:pStyle w:val="P68B1DB1-a527"/>
        <w:numPr>
          <w:ilvl w:val="1"/>
          <w:numId w:val="6"/>
        </w:numPr>
        <w:tabs>
          <w:tab w:val="left" w:pos="567"/>
        </w:tabs>
        <w:ind w:left="567" w:right="398" w:hanging="462"/>
      </w:pPr>
      <w:r>
        <w:t xml:space="preserve">Αξιολόγηση έγκαιρης προειδοποίησης σχετικά με τους στόχους του 2025 για τα αστικά απόβλητα και τα απορρίμματα συσκευασίας — Κάτω Χώρες, Ιούνιος 2022, Ευρωπαϊκός Οργανισμός Περιβάλλοντος. Πρόσβαση στην ιστοσελίδα: </w:t>
      </w:r>
      <w:hyperlink r:id="rId27">
        <w:r>
          <w:rPr>
            <w:color w:val="0000FF"/>
            <w:u w:val="single" w:color="0000FF"/>
          </w:rPr>
          <w:t>Αξιολόγηση</w:t>
        </w:r>
        <w:hyperlink r:id="rId28">
          <w:r>
            <w:rPr>
              <w:color w:val="0000FF"/>
              <w:u w:val="single" w:color="0000FF"/>
            </w:rPr>
            <w:t>έγκαιρης προειδοποίησης</w:t>
          </w:r>
        </w:hyperlink>
        <w:r>
          <w:rPr>
            <w:color w:val="0000FF"/>
            <w:u w:val="single" w:color="0000FF"/>
          </w:rPr>
          <w:t>σχετικά με τους στόχους του 2025 για τα αστικά απόβλητα και τα απορρίμματα συσκευασίας — Ευρωπαϊκός</w:t>
        </w:r>
      </w:hyperlink>
      <w:r>
        <w:rPr>
          <w:color w:val="0000FF"/>
        </w:rPr>
        <w:t xml:space="preserve"> </w:t>
      </w:r>
      <w:hyperlink r:id="rId29">
        <w:r>
          <w:rPr>
            <w:color w:val="0000FF"/>
            <w:u w:val="single" w:color="0000FF"/>
          </w:rPr>
          <w:t>Οργανισμός Περιβάλλοντος (europa.eu</w:t>
        </w:r>
      </w:hyperlink>
      <w:r>
        <w:rPr>
          <w:color w:val="0000FF"/>
          <w:u w:val="single" w:color="0000FF"/>
        </w:rPr>
        <w:t>)</w:t>
      </w:r>
    </w:p>
    <w:p w14:paraId="1D1E5656" w14:textId="1862F936" w:rsidR="00D27B95" w:rsidRPr="00D27B95" w:rsidRDefault="00D27B95" w:rsidP="00305BF5">
      <w:pPr>
        <w:pStyle w:val="P68B1DB1-a527"/>
        <w:numPr>
          <w:ilvl w:val="1"/>
          <w:numId w:val="6"/>
        </w:numPr>
        <w:tabs>
          <w:tab w:val="left" w:pos="567"/>
        </w:tabs>
        <w:ind w:left="567" w:right="428" w:hanging="462"/>
      </w:pPr>
      <w:r>
        <w:t xml:space="preserve">Εκθέσεις έγκαιρης προειδοποίησης για τα απόβλητα 2023 — Κάτω Χώρες, 8 Ιουνίου 2023, Ευρωπαϊκή Επιτροπή. Διατίθεται στην ιστοσελίδα: </w:t>
      </w:r>
      <w:hyperlink r:id="rId30">
        <w:r w:rsidRPr="00D27B95">
          <w:rPr>
            <w:color w:val="0000FF"/>
            <w:u w:val="single" w:color="0000FF"/>
          </w:rPr>
          <w:t>Εκθέσεις έγκαιρης προειδοποίησης για τα απόβλητα 2023 — ενημερωτικά δελτία ανά χώρα — Ευρωπαϊκή Επιτροπή</w:t>
        </w:r>
      </w:hyperlink>
      <w:r w:rsidRPr="00D27B95">
        <w:rPr>
          <w:color w:val="0000FF"/>
        </w:rPr>
        <w:t xml:space="preserve"> </w:t>
      </w:r>
      <w:hyperlink r:id="rId31">
        <w:r w:rsidRPr="00D27B95">
          <w:rPr>
            <w:color w:val="0000FF"/>
            <w:u w:val="single" w:color="0000FF"/>
          </w:rPr>
          <w:t>(europa.eu)</w:t>
        </w:r>
      </w:hyperlink>
    </w:p>
  </w:footnote>
  <w:footnote w:id="55">
    <w:p w14:paraId="1473CF57" w14:textId="77777777" w:rsidR="000E3B35" w:rsidRDefault="000E3B35" w:rsidP="000E3B35">
      <w:pPr>
        <w:spacing w:after="120"/>
        <w:ind w:left="25" w:right="437"/>
        <w:jc w:val="both"/>
        <w:rPr>
          <w:sz w:val="17"/>
        </w:rPr>
      </w:pPr>
      <w:r>
        <w:rPr>
          <w:rStyle w:val="FootnoteReference"/>
        </w:rPr>
        <w:footnoteRef/>
      </w:r>
      <w:r>
        <w:t xml:space="preserve"> </w:t>
      </w:r>
      <w:r>
        <w:rPr>
          <w:sz w:val="17"/>
        </w:rPr>
        <w:t>Για παράδειγμα, προβλέπεται η σύσταση ειδικού ταμείου (Ταμείο προσιτότητας στέγασης) για ένα καθεστώς κρατικών ενισχύσεων ΥΓΟΣ στη Λετονία που προβλέπεται για την κατασκευή κατοικιών χαμηλού ενοικίου.</w:t>
      </w:r>
    </w:p>
    <w:p w14:paraId="39E5F268" w14:textId="77777777" w:rsidR="000E3B35" w:rsidRDefault="000E3B35" w:rsidP="000E3B35">
      <w:pPr>
        <w:pStyle w:val="P68B1DB1-a17"/>
        <w:spacing w:after="120"/>
        <w:ind w:left="25" w:right="404"/>
        <w:jc w:val="both"/>
      </w:pPr>
      <w:r>
        <w:t xml:space="preserve">Νομική βάση του καθεστώτος &amp; https://likumi.lv/ta/id/334085-noteikumi-par-atbalstu-dzivojamo-ires-maju-buvniecibai- </w:t>
      </w:r>
      <w:hyperlink r:id="rId32" w:anchor="p68%26pd%3D1">
        <w:r>
          <w:rPr>
            <w:color w:val="0000FF"/>
            <w:u w:val="single" w:color="0000FF"/>
          </w:rPr>
          <w:t>Eiropas</w:t>
        </w:r>
      </w:hyperlink>
      <w:r>
        <w:rPr>
          <w:color w:val="0000FF"/>
        </w:rPr>
        <w:t xml:space="preserve"> </w:t>
      </w:r>
      <w:hyperlink r:id="rId33" w:anchor="p68%26pd%3D1">
        <w:r>
          <w:rPr>
            <w:color w:val="0000FF"/>
            <w:u w:val="single" w:color="0000FF"/>
          </w:rPr>
          <w:t>-Savienibas-atveselosanas-un-noturibas-mehanisma-plana-3-1#p68 &amp;pd=1</w:t>
        </w:r>
      </w:hyperlink>
      <w:r>
        <w:rPr>
          <w:color w:val="0000FF"/>
        </w:rPr>
        <w:t xml:space="preserve"> </w:t>
      </w:r>
      <w:r>
        <w:t>&gt; [σημεία 68 &amp; 69 του κανονισμού]</w:t>
      </w:r>
    </w:p>
    <w:p w14:paraId="7EF38DAB" w14:textId="4591434B" w:rsidR="000E3B35" w:rsidRPr="000E3B35" w:rsidRDefault="000E3B35">
      <w:pPr>
        <w:pStyle w:val="FootnoteText"/>
      </w:pPr>
    </w:p>
  </w:footnote>
  <w:footnote w:id="56">
    <w:p w14:paraId="745E5446" w14:textId="639DC729" w:rsidR="00457512" w:rsidRPr="00457512" w:rsidRDefault="00457512" w:rsidP="00457512">
      <w:pPr>
        <w:ind w:left="25" w:right="2033"/>
      </w:pPr>
      <w:r>
        <w:rPr>
          <w:rStyle w:val="FootnoteReference"/>
        </w:rPr>
        <w:footnoteRef/>
      </w:r>
      <w:r>
        <w:t xml:space="preserve"> </w:t>
      </w:r>
      <w:r>
        <w:rPr>
          <w:sz w:val="17"/>
        </w:rPr>
        <w:t xml:space="preserve">Υποδομή Αναλυτικό </w:t>
      </w:r>
      <w:r>
        <w:rPr>
          <w:sz w:val="17"/>
          <w:lang w:val="el-GR"/>
        </w:rPr>
        <w:t>Δελτίο</w:t>
      </w:r>
      <w:r>
        <w:rPr>
          <w:sz w:val="17"/>
        </w:rPr>
        <w:t xml:space="preserve"> Υποδομών Διαχείρισης Αποβλήτων, σημεία 2 και 3. Διατίθεται στην ιστοσελίδα: &amp; </w:t>
      </w:r>
      <w:hyperlink r:id="rId34">
        <w:r>
          <w:rPr>
            <w:color w:val="0000FF"/>
            <w:sz w:val="17"/>
            <w:u w:val="single" w:color="0000FF"/>
          </w:rPr>
          <w:t>99b25350-5f86-499d-b064-78cc126f16c7_en (europa.eu)</w:t>
        </w:r>
      </w:hyperlink>
      <w:r>
        <w:rPr>
          <w:color w:val="0000FF"/>
          <w:sz w:val="17"/>
        </w:rPr>
        <w:t xml:space="preserve"> </w:t>
      </w:r>
      <w:r>
        <w:rPr>
          <w:sz w:val="17"/>
        </w:rPr>
        <w:t>&gt;.</w:t>
      </w:r>
    </w:p>
  </w:footnote>
  <w:footnote w:id="57">
    <w:p w14:paraId="666C4832" w14:textId="36EE5340" w:rsidR="00457512" w:rsidRPr="00457512" w:rsidRDefault="00457512" w:rsidP="00457512">
      <w:pPr>
        <w:ind w:left="25"/>
      </w:pPr>
      <w:r>
        <w:rPr>
          <w:rStyle w:val="FootnoteReference"/>
        </w:rPr>
        <w:footnoteRef/>
      </w:r>
      <w:r>
        <w:t xml:space="preserve"> </w:t>
      </w:r>
      <w:r>
        <w:rPr>
          <w:sz w:val="17"/>
        </w:rPr>
        <w:t>Ανακοίνωση της Επιτροπής σχετικά με την έννοια της κρατικής ενίσχυσης όπως αναφέρεται στο άρθρο 107 παράγραφος 1 της Συνθήκης για τη λειτουργία της Ευρωπαϊκής Ένωσης</w:t>
      </w:r>
      <w:r w:rsidRPr="00457512">
        <w:rPr>
          <w:sz w:val="17"/>
        </w:rPr>
        <w:t xml:space="preserve"> </w:t>
      </w:r>
      <w:r w:rsidRPr="00457512">
        <w:rPr>
          <w:sz w:val="17"/>
        </w:rPr>
        <w:t>η Ευρωπαϊκή Ένωση (Ανακοίνωση για την έννοια της κρατικής ενίσχυσης), υποσημείωση 298.</w:t>
      </w:r>
    </w:p>
  </w:footnote>
  <w:footnote w:id="58">
    <w:p w14:paraId="5ECCE538" w14:textId="0DEBACC0" w:rsidR="00457512" w:rsidRPr="00457512" w:rsidRDefault="00457512" w:rsidP="00457512">
      <w:pPr>
        <w:pStyle w:val="FootnoteText"/>
        <w:rPr>
          <w:lang w:val="el-GR"/>
        </w:rPr>
      </w:pPr>
      <w:r>
        <w:rPr>
          <w:rStyle w:val="FootnoteReference"/>
        </w:rPr>
        <w:footnoteRef/>
      </w:r>
      <w:r>
        <w:t xml:space="preserve"> </w:t>
      </w:r>
      <w:r>
        <w:rPr>
          <w:sz w:val="17"/>
        </w:rPr>
        <w:t>Ανακοίνωση σχετικά με την έννοια της κρατικής ενίσχυσης, σημεία 89 — 105.</w:t>
      </w:r>
    </w:p>
  </w:footnote>
  <w:footnote w:id="59">
    <w:p w14:paraId="0A4D7AEA" w14:textId="38A6BE8D" w:rsidR="00457512" w:rsidRPr="00457512" w:rsidRDefault="00457512">
      <w:pPr>
        <w:pStyle w:val="FootnoteText"/>
        <w:rPr>
          <w:lang w:val="el-GR"/>
        </w:rPr>
      </w:pPr>
      <w:r>
        <w:rPr>
          <w:rStyle w:val="FootnoteReference"/>
        </w:rPr>
        <w:footnoteRef/>
      </w:r>
      <w:r>
        <w:t xml:space="preserve"> </w:t>
      </w:r>
      <w:r>
        <w:rPr>
          <w:sz w:val="17"/>
        </w:rPr>
        <w:t xml:space="preserve">Βλ., για παράδειγμα, απόφαση της Ευρωπαϊκής Επιτροπής της 15ης Ιουνίου 2011 στην υπόθεση κρατικής </w:t>
      </w:r>
      <w:hyperlink r:id="rId35">
        <w:r>
          <w:rPr>
            <w:color w:val="002E67"/>
            <w:sz w:val="17"/>
            <w:u w:val="single" w:color="002E67"/>
          </w:rPr>
          <w:t>ενίσχυσης</w:t>
        </w:r>
      </w:hyperlink>
      <w:r>
        <w:rPr>
          <w:color w:val="002E67"/>
          <w:sz w:val="17"/>
        </w:rPr>
        <w:t xml:space="preserve"> </w:t>
      </w:r>
      <w:r>
        <w:rPr>
          <w:sz w:val="17"/>
        </w:rPr>
        <w:t xml:space="preserve">SA.30381 «Δημόσια χρηματοδότηση λιμενικών υποδομών στο </w:t>
      </w:r>
      <w:r>
        <w:rPr>
          <w:rFonts w:ascii="Arial" w:hAnsi="Arial"/>
          <w:i/>
          <w:sz w:val="17"/>
        </w:rPr>
        <w:t>Krievu Sala</w:t>
      </w:r>
      <w:r>
        <w:rPr>
          <w:sz w:val="17"/>
        </w:rPr>
        <w:t>» (Λετονία) [τμήμα 3.1.2.2].</w:t>
      </w:r>
    </w:p>
  </w:footnote>
  <w:footnote w:id="60">
    <w:p w14:paraId="05D3441A" w14:textId="63008B66" w:rsidR="00411BFA" w:rsidRPr="00411BFA" w:rsidRDefault="00411BFA" w:rsidP="00B35364">
      <w:pPr>
        <w:ind w:left="25"/>
        <w:jc w:val="both"/>
      </w:pPr>
      <w:r>
        <w:rPr>
          <w:rStyle w:val="FootnoteReference"/>
        </w:rPr>
        <w:footnoteRef/>
      </w:r>
      <w:r>
        <w:t xml:space="preserve"> </w:t>
      </w:r>
      <w:r>
        <w:rPr>
          <w:sz w:val="17"/>
        </w:rPr>
        <w:t>Ανακοίνωση σχετικά με την έννοια της κρατικής ενίσχυσης, σημείο 200.</w:t>
      </w:r>
    </w:p>
  </w:footnote>
  <w:footnote w:id="61">
    <w:p w14:paraId="4E5D4EB1" w14:textId="26F0B78D" w:rsidR="00411BFA" w:rsidRPr="00411BFA" w:rsidRDefault="00411BFA" w:rsidP="00B35364">
      <w:pPr>
        <w:ind w:left="25"/>
        <w:jc w:val="both"/>
      </w:pPr>
      <w:r>
        <w:rPr>
          <w:rStyle w:val="FootnoteReference"/>
        </w:rPr>
        <w:footnoteRef/>
      </w:r>
      <w:r>
        <w:t xml:space="preserve"> </w:t>
      </w:r>
      <w:r>
        <w:rPr>
          <w:sz w:val="17"/>
        </w:rPr>
        <w:t>Ανακοίνωση σχετικά με την έννοια της κρατικής ενίσχυσης, σημείο 223.</w:t>
      </w:r>
    </w:p>
  </w:footnote>
  <w:footnote w:id="62">
    <w:p w14:paraId="66F331EA" w14:textId="123C9886" w:rsidR="00411BFA" w:rsidRPr="00411BFA" w:rsidRDefault="00411BFA" w:rsidP="00411BFA">
      <w:pPr>
        <w:pStyle w:val="FootnoteText"/>
        <w:rPr>
          <w:lang w:val="el-GR"/>
        </w:rPr>
      </w:pPr>
      <w:r>
        <w:rPr>
          <w:rStyle w:val="FootnoteReference"/>
        </w:rPr>
        <w:footnoteRef/>
      </w:r>
      <w:r>
        <w:t xml:space="preserve"> </w:t>
      </w:r>
      <w:r>
        <w:rPr>
          <w:sz w:val="17"/>
        </w:rPr>
        <w:t>Βλ. υπόδειγμα που προβλέπεται από τον κανονισμό (ΕΚ) αριθ. 1370/2007 του Ευρωπαϊκού Κοινοβουλίου και του Συμβουλίου, της 23ης Οκτωβρίου 2007, για τις δημόσιες επιβατικές σιδηροδρομικές και οδικές μεταφορές και την κατάργηση των κανονισμών (ΕΟΚ) αριθ. 1191/69 και (ΕΟΚ) αριθ. 1107/70 του Συμβουλίου, άρθρο 4 παράγραφος 7.</w:t>
      </w:r>
      <w:r w:rsidRPr="00411BFA">
        <w:rPr>
          <w:sz w:val="17"/>
        </w:rPr>
        <w:t xml:space="preserve"> </w:t>
      </w:r>
      <w:r>
        <w:rPr>
          <w:sz w:val="17"/>
        </w:rPr>
        <w:t xml:space="preserve">Διατίθεται στην ιστοσελίδα: </w:t>
      </w:r>
      <w:hyperlink r:id="rId36">
        <w:r>
          <w:rPr>
            <w:color w:val="0000FF"/>
            <w:sz w:val="17"/>
            <w:u w:val="single" w:color="0000FF"/>
          </w:rPr>
          <w:t>Κανονισμός — 1370/2007 — EN — EUR-Lex</w:t>
        </w:r>
      </w:hyperlink>
      <w:r>
        <w:rPr>
          <w:color w:val="0000FF"/>
          <w:sz w:val="17"/>
        </w:rPr>
        <w:t xml:space="preserve"> </w:t>
      </w:r>
      <w:hyperlink r:id="rId37">
        <w:r>
          <w:rPr>
            <w:color w:val="0000FF"/>
            <w:sz w:val="17"/>
            <w:u w:val="single" w:color="0000FF"/>
          </w:rPr>
          <w:t>(europa.eu)</w:t>
        </w:r>
      </w:hyperlink>
      <w:r>
        <w:rPr>
          <w:color w:val="0000FF"/>
          <w:sz w:val="17"/>
        </w:rPr>
        <w:t xml:space="preserve"> </w:t>
      </w:r>
      <w:r>
        <w:rPr>
          <w:sz w:val="17"/>
        </w:rPr>
        <w:t>&gt;</w:t>
      </w:r>
    </w:p>
  </w:footnote>
  <w:footnote w:id="63">
    <w:p w14:paraId="2F529F9A" w14:textId="2ECF3F55" w:rsidR="00C1716A" w:rsidRPr="00C1716A" w:rsidRDefault="00C1716A">
      <w:pPr>
        <w:pStyle w:val="FootnoteText"/>
        <w:rPr>
          <w:lang w:val="el-GR"/>
        </w:rPr>
      </w:pPr>
      <w:r>
        <w:rPr>
          <w:rStyle w:val="FootnoteReference"/>
        </w:rPr>
        <w:footnoteRef/>
      </w:r>
      <w:r>
        <w:t xml:space="preserve"> </w:t>
      </w:r>
      <w:r>
        <w:rPr>
          <w:sz w:val="17"/>
        </w:rPr>
        <w:t xml:space="preserve">Βλ., για παράδειγμα, απόφαση της Ευρωπαϊκής Επιτροπής της 30ής Μαΐου 2007 στην υπόθεση κρατικής ενίσχυσης </w:t>
      </w:r>
      <w:hyperlink r:id="rId38">
        <w:r>
          <w:rPr>
            <w:color w:val="002E67"/>
            <w:sz w:val="17"/>
            <w:u w:val="single" w:color="002E67"/>
          </w:rPr>
          <w:t>SA.21168</w:t>
        </w:r>
      </w:hyperlink>
      <w:r>
        <w:rPr>
          <w:color w:val="002E67"/>
          <w:sz w:val="17"/>
        </w:rPr>
        <w:t xml:space="preserve"> </w:t>
      </w:r>
      <w:r>
        <w:rPr>
          <w:sz w:val="17"/>
        </w:rPr>
        <w:t>«Prague Municipal Wireless Network» (Τσεχική Δημοκρατία) [σημεία 13 — 18, 32 — 34, 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5E31"/>
    <w:multiLevelType w:val="hybridMultilevel"/>
    <w:tmpl w:val="A09E4DAE"/>
    <w:lvl w:ilvl="0" w:tplc="8E26DA72">
      <w:start w:val="2"/>
      <w:numFmt w:val="decimal"/>
      <w:lvlText w:val="%1."/>
      <w:lvlJc w:val="left"/>
      <w:pPr>
        <w:ind w:left="101" w:hanging="224"/>
      </w:pPr>
      <w:rPr>
        <w:rFonts w:ascii="Arial MT" w:eastAsia="Arial MT" w:hAnsi="Arial MT" w:cs="Arial MT" w:hint="default"/>
        <w:b w:val="0"/>
        <w:bCs w:val="0"/>
        <w:i w:val="0"/>
        <w:iCs w:val="0"/>
        <w:spacing w:val="-2"/>
        <w:w w:val="103"/>
        <w:sz w:val="17"/>
        <w:szCs w:val="17"/>
        <w:lang w:val="en-US" w:eastAsia="en-US" w:bidi="ar-SA"/>
      </w:rPr>
    </w:lvl>
    <w:lvl w:ilvl="1" w:tplc="CDA4CA86">
      <w:start w:val="1"/>
      <w:numFmt w:val="lowerLetter"/>
      <w:lvlText w:val="(%2)"/>
      <w:lvlJc w:val="left"/>
      <w:pPr>
        <w:ind w:left="373" w:hanging="272"/>
      </w:pPr>
      <w:rPr>
        <w:rFonts w:ascii="Arial MT" w:eastAsia="Arial MT" w:hAnsi="Arial MT" w:cs="Arial MT" w:hint="default"/>
        <w:b w:val="0"/>
        <w:bCs w:val="0"/>
        <w:i w:val="0"/>
        <w:iCs w:val="0"/>
        <w:spacing w:val="-2"/>
        <w:w w:val="103"/>
        <w:sz w:val="17"/>
        <w:szCs w:val="17"/>
        <w:lang w:val="en-US" w:eastAsia="en-US" w:bidi="ar-SA"/>
      </w:rPr>
    </w:lvl>
    <w:lvl w:ilvl="2" w:tplc="0C9E80BC">
      <w:start w:val="1"/>
      <w:numFmt w:val="decimal"/>
      <w:lvlText w:val="%3."/>
      <w:lvlJc w:val="left"/>
      <w:pPr>
        <w:ind w:left="101" w:hanging="208"/>
      </w:pPr>
      <w:rPr>
        <w:rFonts w:ascii="Arial MT" w:eastAsia="Arial MT" w:hAnsi="Arial MT" w:cs="Arial MT" w:hint="default"/>
        <w:b w:val="0"/>
        <w:bCs w:val="0"/>
        <w:i w:val="0"/>
        <w:iCs w:val="0"/>
        <w:spacing w:val="-2"/>
        <w:w w:val="103"/>
        <w:sz w:val="17"/>
        <w:szCs w:val="17"/>
        <w:lang w:val="en-US" w:eastAsia="en-US" w:bidi="ar-SA"/>
      </w:rPr>
    </w:lvl>
    <w:lvl w:ilvl="3" w:tplc="2E06005E">
      <w:start w:val="1"/>
      <w:numFmt w:val="lowerLetter"/>
      <w:lvlText w:val="(%4)"/>
      <w:lvlJc w:val="left"/>
      <w:pPr>
        <w:ind w:left="373" w:hanging="272"/>
      </w:pPr>
      <w:rPr>
        <w:rFonts w:ascii="Arial MT" w:eastAsia="Arial MT" w:hAnsi="Arial MT" w:cs="Arial MT" w:hint="default"/>
        <w:b w:val="0"/>
        <w:bCs w:val="0"/>
        <w:i w:val="0"/>
        <w:iCs w:val="0"/>
        <w:spacing w:val="-2"/>
        <w:w w:val="103"/>
        <w:sz w:val="17"/>
        <w:szCs w:val="17"/>
        <w:lang w:val="en-US" w:eastAsia="en-US" w:bidi="ar-SA"/>
      </w:rPr>
    </w:lvl>
    <w:lvl w:ilvl="4" w:tplc="6486E562">
      <w:numFmt w:val="bullet"/>
      <w:lvlText w:val="•"/>
      <w:lvlJc w:val="left"/>
      <w:pPr>
        <w:ind w:left="2383" w:hanging="272"/>
      </w:pPr>
      <w:rPr>
        <w:rFonts w:hint="default"/>
        <w:lang w:val="en-US" w:eastAsia="en-US" w:bidi="ar-SA"/>
      </w:rPr>
    </w:lvl>
    <w:lvl w:ilvl="5" w:tplc="88685D6E">
      <w:numFmt w:val="bullet"/>
      <w:lvlText w:val="•"/>
      <w:lvlJc w:val="left"/>
      <w:pPr>
        <w:ind w:left="3050" w:hanging="272"/>
      </w:pPr>
      <w:rPr>
        <w:rFonts w:hint="default"/>
        <w:lang w:val="en-US" w:eastAsia="en-US" w:bidi="ar-SA"/>
      </w:rPr>
    </w:lvl>
    <w:lvl w:ilvl="6" w:tplc="9B14D4E0">
      <w:numFmt w:val="bullet"/>
      <w:lvlText w:val="•"/>
      <w:lvlJc w:val="left"/>
      <w:pPr>
        <w:ind w:left="3718" w:hanging="272"/>
      </w:pPr>
      <w:rPr>
        <w:rFonts w:hint="default"/>
        <w:lang w:val="en-US" w:eastAsia="en-US" w:bidi="ar-SA"/>
      </w:rPr>
    </w:lvl>
    <w:lvl w:ilvl="7" w:tplc="2F0C4E52">
      <w:numFmt w:val="bullet"/>
      <w:lvlText w:val="•"/>
      <w:lvlJc w:val="left"/>
      <w:pPr>
        <w:ind w:left="4386" w:hanging="272"/>
      </w:pPr>
      <w:rPr>
        <w:rFonts w:hint="default"/>
        <w:lang w:val="en-US" w:eastAsia="en-US" w:bidi="ar-SA"/>
      </w:rPr>
    </w:lvl>
    <w:lvl w:ilvl="8" w:tplc="1AD00E9E">
      <w:numFmt w:val="bullet"/>
      <w:lvlText w:val="•"/>
      <w:lvlJc w:val="left"/>
      <w:pPr>
        <w:ind w:left="5053" w:hanging="272"/>
      </w:pPr>
      <w:rPr>
        <w:rFonts w:hint="default"/>
        <w:lang w:val="en-US" w:eastAsia="en-US" w:bidi="ar-SA"/>
      </w:rPr>
    </w:lvl>
  </w:abstractNum>
  <w:abstractNum w:abstractNumId="1" w15:restartNumberingAfterBreak="0">
    <w:nsid w:val="09E84468"/>
    <w:multiLevelType w:val="hybridMultilevel"/>
    <w:tmpl w:val="15C69674"/>
    <w:lvl w:ilvl="0" w:tplc="487405F8">
      <w:numFmt w:val="bullet"/>
      <w:lvlText w:val="-"/>
      <w:lvlJc w:val="left"/>
      <w:pPr>
        <w:ind w:left="25" w:hanging="144"/>
      </w:pPr>
      <w:rPr>
        <w:rFonts w:ascii="Arial MT" w:eastAsia="Arial MT" w:hAnsi="Arial MT" w:cs="Arial MT" w:hint="default"/>
        <w:b w:val="0"/>
        <w:bCs w:val="0"/>
        <w:i w:val="0"/>
        <w:iCs w:val="0"/>
        <w:color w:val="0000FF"/>
        <w:spacing w:val="0"/>
        <w:w w:val="67"/>
        <w:sz w:val="17"/>
        <w:szCs w:val="17"/>
        <w:u w:val="single" w:color="0000FF"/>
        <w:lang w:val="en-US" w:eastAsia="en-US" w:bidi="ar-SA"/>
      </w:rPr>
    </w:lvl>
    <w:lvl w:ilvl="1" w:tplc="79DEE080">
      <w:numFmt w:val="bullet"/>
      <w:lvlText w:val=""/>
      <w:lvlJc w:val="left"/>
      <w:pPr>
        <w:ind w:left="1114" w:hanging="369"/>
      </w:pPr>
      <w:rPr>
        <w:rFonts w:ascii="Symbol" w:eastAsia="Symbol" w:hAnsi="Symbol" w:cs="Symbol" w:hint="default"/>
        <w:b w:val="0"/>
        <w:bCs w:val="0"/>
        <w:i w:val="0"/>
        <w:iCs w:val="0"/>
        <w:spacing w:val="0"/>
        <w:w w:val="99"/>
        <w:sz w:val="21"/>
        <w:szCs w:val="21"/>
        <w:lang w:val="en-US" w:eastAsia="en-US" w:bidi="ar-SA"/>
      </w:rPr>
    </w:lvl>
    <w:lvl w:ilvl="2" w:tplc="3724AE16">
      <w:numFmt w:val="bullet"/>
      <w:lvlText w:val="•"/>
      <w:lvlJc w:val="left"/>
      <w:pPr>
        <w:ind w:left="2050" w:hanging="369"/>
      </w:pPr>
      <w:rPr>
        <w:rFonts w:hint="default"/>
        <w:lang w:val="en-US" w:eastAsia="en-US" w:bidi="ar-SA"/>
      </w:rPr>
    </w:lvl>
    <w:lvl w:ilvl="3" w:tplc="189A2070">
      <w:numFmt w:val="bullet"/>
      <w:lvlText w:val="•"/>
      <w:lvlJc w:val="left"/>
      <w:pPr>
        <w:ind w:left="2981" w:hanging="369"/>
      </w:pPr>
      <w:rPr>
        <w:rFonts w:hint="default"/>
        <w:lang w:val="en-US" w:eastAsia="en-US" w:bidi="ar-SA"/>
      </w:rPr>
    </w:lvl>
    <w:lvl w:ilvl="4" w:tplc="DEC49F2C">
      <w:numFmt w:val="bullet"/>
      <w:lvlText w:val="•"/>
      <w:lvlJc w:val="left"/>
      <w:pPr>
        <w:ind w:left="3911" w:hanging="369"/>
      </w:pPr>
      <w:rPr>
        <w:rFonts w:hint="default"/>
        <w:lang w:val="en-US" w:eastAsia="en-US" w:bidi="ar-SA"/>
      </w:rPr>
    </w:lvl>
    <w:lvl w:ilvl="5" w:tplc="E2D47EB0">
      <w:numFmt w:val="bullet"/>
      <w:lvlText w:val="•"/>
      <w:lvlJc w:val="left"/>
      <w:pPr>
        <w:ind w:left="4842" w:hanging="369"/>
      </w:pPr>
      <w:rPr>
        <w:rFonts w:hint="default"/>
        <w:lang w:val="en-US" w:eastAsia="en-US" w:bidi="ar-SA"/>
      </w:rPr>
    </w:lvl>
    <w:lvl w:ilvl="6" w:tplc="8DD246D0">
      <w:numFmt w:val="bullet"/>
      <w:lvlText w:val="•"/>
      <w:lvlJc w:val="left"/>
      <w:pPr>
        <w:ind w:left="5772" w:hanging="369"/>
      </w:pPr>
      <w:rPr>
        <w:rFonts w:hint="default"/>
        <w:lang w:val="en-US" w:eastAsia="en-US" w:bidi="ar-SA"/>
      </w:rPr>
    </w:lvl>
    <w:lvl w:ilvl="7" w:tplc="F0324042">
      <w:numFmt w:val="bullet"/>
      <w:lvlText w:val="•"/>
      <w:lvlJc w:val="left"/>
      <w:pPr>
        <w:ind w:left="6703" w:hanging="369"/>
      </w:pPr>
      <w:rPr>
        <w:rFonts w:hint="default"/>
        <w:lang w:val="en-US" w:eastAsia="en-US" w:bidi="ar-SA"/>
      </w:rPr>
    </w:lvl>
    <w:lvl w:ilvl="8" w:tplc="B9E2A828">
      <w:numFmt w:val="bullet"/>
      <w:lvlText w:val="•"/>
      <w:lvlJc w:val="left"/>
      <w:pPr>
        <w:ind w:left="7633" w:hanging="369"/>
      </w:pPr>
      <w:rPr>
        <w:rFonts w:hint="default"/>
        <w:lang w:val="en-US" w:eastAsia="en-US" w:bidi="ar-SA"/>
      </w:rPr>
    </w:lvl>
  </w:abstractNum>
  <w:abstractNum w:abstractNumId="2" w15:restartNumberingAfterBreak="0">
    <w:nsid w:val="0B1D7720"/>
    <w:multiLevelType w:val="multilevel"/>
    <w:tmpl w:val="D4928D68"/>
    <w:lvl w:ilvl="0">
      <w:start w:val="1"/>
      <w:numFmt w:val="decimal"/>
      <w:lvlText w:val="%1."/>
      <w:lvlJc w:val="left"/>
      <w:pPr>
        <w:ind w:left="377" w:hanging="353"/>
      </w:pPr>
      <w:rPr>
        <w:rFonts w:hint="default"/>
        <w:spacing w:val="-6"/>
        <w:w w:val="100"/>
        <w:lang w:val="en-US" w:eastAsia="en-US" w:bidi="ar-SA"/>
      </w:rPr>
    </w:lvl>
    <w:lvl w:ilvl="1">
      <w:start w:val="1"/>
      <w:numFmt w:val="decimal"/>
      <w:lvlText w:val="%1.%2"/>
      <w:lvlJc w:val="left"/>
      <w:pPr>
        <w:ind w:left="601" w:hanging="577"/>
      </w:pPr>
      <w:rPr>
        <w:rFonts w:ascii="Arial" w:eastAsia="Arial" w:hAnsi="Arial" w:cs="Arial" w:hint="default"/>
        <w:b/>
        <w:bCs/>
        <w:i w:val="0"/>
        <w:iCs w:val="0"/>
        <w:spacing w:val="0"/>
        <w:w w:val="101"/>
        <w:sz w:val="22"/>
        <w:szCs w:val="22"/>
        <w:lang w:val="en-US" w:eastAsia="en-US" w:bidi="ar-SA"/>
      </w:rPr>
    </w:lvl>
    <w:lvl w:ilvl="2">
      <w:start w:val="1"/>
      <w:numFmt w:val="decimal"/>
      <w:lvlText w:val="%1.%2.%3"/>
      <w:lvlJc w:val="left"/>
      <w:pPr>
        <w:ind w:left="746" w:hanging="721"/>
      </w:pPr>
      <w:rPr>
        <w:rFonts w:hint="default"/>
        <w:spacing w:val="0"/>
        <w:w w:val="101"/>
        <w:lang w:val="en-US" w:eastAsia="en-US" w:bidi="ar-SA"/>
      </w:rPr>
    </w:lvl>
    <w:lvl w:ilvl="3">
      <w:numFmt w:val="bullet"/>
      <w:lvlText w:val="•"/>
      <w:lvlJc w:val="left"/>
      <w:pPr>
        <w:ind w:left="1834" w:hanging="721"/>
      </w:pPr>
      <w:rPr>
        <w:rFonts w:hint="default"/>
        <w:lang w:val="en-US" w:eastAsia="en-US" w:bidi="ar-SA"/>
      </w:rPr>
    </w:lvl>
    <w:lvl w:ilvl="4">
      <w:numFmt w:val="bullet"/>
      <w:lvlText w:val="•"/>
      <w:lvlJc w:val="left"/>
      <w:pPr>
        <w:ind w:left="2928" w:hanging="721"/>
      </w:pPr>
      <w:rPr>
        <w:rFonts w:hint="default"/>
        <w:lang w:val="en-US" w:eastAsia="en-US" w:bidi="ar-SA"/>
      </w:rPr>
    </w:lvl>
    <w:lvl w:ilvl="5">
      <w:numFmt w:val="bullet"/>
      <w:lvlText w:val="•"/>
      <w:lvlJc w:val="left"/>
      <w:pPr>
        <w:ind w:left="4023" w:hanging="721"/>
      </w:pPr>
      <w:rPr>
        <w:rFonts w:hint="default"/>
        <w:lang w:val="en-US" w:eastAsia="en-US" w:bidi="ar-SA"/>
      </w:rPr>
    </w:lvl>
    <w:lvl w:ilvl="6">
      <w:numFmt w:val="bullet"/>
      <w:lvlText w:val="•"/>
      <w:lvlJc w:val="left"/>
      <w:pPr>
        <w:ind w:left="5117" w:hanging="721"/>
      </w:pPr>
      <w:rPr>
        <w:rFonts w:hint="default"/>
        <w:lang w:val="en-US" w:eastAsia="en-US" w:bidi="ar-SA"/>
      </w:rPr>
    </w:lvl>
    <w:lvl w:ilvl="7">
      <w:numFmt w:val="bullet"/>
      <w:lvlText w:val="•"/>
      <w:lvlJc w:val="left"/>
      <w:pPr>
        <w:ind w:left="6211" w:hanging="721"/>
      </w:pPr>
      <w:rPr>
        <w:rFonts w:hint="default"/>
        <w:lang w:val="en-US" w:eastAsia="en-US" w:bidi="ar-SA"/>
      </w:rPr>
    </w:lvl>
    <w:lvl w:ilvl="8">
      <w:numFmt w:val="bullet"/>
      <w:lvlText w:val="•"/>
      <w:lvlJc w:val="left"/>
      <w:pPr>
        <w:ind w:left="7306" w:hanging="721"/>
      </w:pPr>
      <w:rPr>
        <w:rFonts w:hint="default"/>
        <w:lang w:val="en-US" w:eastAsia="en-US" w:bidi="ar-SA"/>
      </w:rPr>
    </w:lvl>
  </w:abstractNum>
  <w:abstractNum w:abstractNumId="3" w15:restartNumberingAfterBreak="0">
    <w:nsid w:val="16130985"/>
    <w:multiLevelType w:val="hybridMultilevel"/>
    <w:tmpl w:val="B082D9F6"/>
    <w:lvl w:ilvl="0" w:tplc="32DC7A7E">
      <w:numFmt w:val="bullet"/>
      <w:lvlText w:val=""/>
      <w:lvlJc w:val="left"/>
      <w:pPr>
        <w:ind w:left="746" w:hanging="353"/>
      </w:pPr>
      <w:rPr>
        <w:rFonts w:ascii="Wingdings" w:eastAsia="Wingdings" w:hAnsi="Wingdings" w:cs="Wingdings" w:hint="default"/>
        <w:b w:val="0"/>
        <w:bCs w:val="0"/>
        <w:i w:val="0"/>
        <w:iCs w:val="0"/>
        <w:spacing w:val="0"/>
        <w:w w:val="99"/>
        <w:sz w:val="21"/>
        <w:szCs w:val="21"/>
        <w:lang w:val="en-US" w:eastAsia="en-US" w:bidi="ar-SA"/>
      </w:rPr>
    </w:lvl>
    <w:lvl w:ilvl="1" w:tplc="A6187654">
      <w:numFmt w:val="bullet"/>
      <w:lvlText w:val="•"/>
      <w:lvlJc w:val="left"/>
      <w:pPr>
        <w:ind w:left="1615" w:hanging="353"/>
      </w:pPr>
      <w:rPr>
        <w:rFonts w:hint="default"/>
        <w:lang w:val="en-US" w:eastAsia="en-US" w:bidi="ar-SA"/>
      </w:rPr>
    </w:lvl>
    <w:lvl w:ilvl="2" w:tplc="0AB2A910">
      <w:numFmt w:val="bullet"/>
      <w:lvlText w:val="•"/>
      <w:lvlJc w:val="left"/>
      <w:pPr>
        <w:ind w:left="2491" w:hanging="353"/>
      </w:pPr>
      <w:rPr>
        <w:rFonts w:hint="default"/>
        <w:lang w:val="en-US" w:eastAsia="en-US" w:bidi="ar-SA"/>
      </w:rPr>
    </w:lvl>
    <w:lvl w:ilvl="3" w:tplc="447EFB4E">
      <w:numFmt w:val="bullet"/>
      <w:lvlText w:val="•"/>
      <w:lvlJc w:val="left"/>
      <w:pPr>
        <w:ind w:left="3366" w:hanging="353"/>
      </w:pPr>
      <w:rPr>
        <w:rFonts w:hint="default"/>
        <w:lang w:val="en-US" w:eastAsia="en-US" w:bidi="ar-SA"/>
      </w:rPr>
    </w:lvl>
    <w:lvl w:ilvl="4" w:tplc="A064AFFA">
      <w:numFmt w:val="bullet"/>
      <w:lvlText w:val="•"/>
      <w:lvlJc w:val="left"/>
      <w:pPr>
        <w:ind w:left="4242" w:hanging="353"/>
      </w:pPr>
      <w:rPr>
        <w:rFonts w:hint="default"/>
        <w:lang w:val="en-US" w:eastAsia="en-US" w:bidi="ar-SA"/>
      </w:rPr>
    </w:lvl>
    <w:lvl w:ilvl="5" w:tplc="7FA68EA8">
      <w:numFmt w:val="bullet"/>
      <w:lvlText w:val="•"/>
      <w:lvlJc w:val="left"/>
      <w:pPr>
        <w:ind w:left="5117" w:hanging="353"/>
      </w:pPr>
      <w:rPr>
        <w:rFonts w:hint="default"/>
        <w:lang w:val="en-US" w:eastAsia="en-US" w:bidi="ar-SA"/>
      </w:rPr>
    </w:lvl>
    <w:lvl w:ilvl="6" w:tplc="62B65D52">
      <w:numFmt w:val="bullet"/>
      <w:lvlText w:val="•"/>
      <w:lvlJc w:val="left"/>
      <w:pPr>
        <w:ind w:left="5993" w:hanging="353"/>
      </w:pPr>
      <w:rPr>
        <w:rFonts w:hint="default"/>
        <w:lang w:val="en-US" w:eastAsia="en-US" w:bidi="ar-SA"/>
      </w:rPr>
    </w:lvl>
    <w:lvl w:ilvl="7" w:tplc="ABAA4A2C">
      <w:numFmt w:val="bullet"/>
      <w:lvlText w:val="•"/>
      <w:lvlJc w:val="left"/>
      <w:pPr>
        <w:ind w:left="6868" w:hanging="353"/>
      </w:pPr>
      <w:rPr>
        <w:rFonts w:hint="default"/>
        <w:lang w:val="en-US" w:eastAsia="en-US" w:bidi="ar-SA"/>
      </w:rPr>
    </w:lvl>
    <w:lvl w:ilvl="8" w:tplc="0C882726">
      <w:numFmt w:val="bullet"/>
      <w:lvlText w:val="•"/>
      <w:lvlJc w:val="left"/>
      <w:pPr>
        <w:ind w:left="7744" w:hanging="353"/>
      </w:pPr>
      <w:rPr>
        <w:rFonts w:hint="default"/>
        <w:lang w:val="en-US" w:eastAsia="en-US" w:bidi="ar-SA"/>
      </w:rPr>
    </w:lvl>
  </w:abstractNum>
  <w:abstractNum w:abstractNumId="4" w15:restartNumberingAfterBreak="0">
    <w:nsid w:val="1DEA4392"/>
    <w:multiLevelType w:val="hybridMultilevel"/>
    <w:tmpl w:val="DD3E2D78"/>
    <w:lvl w:ilvl="0" w:tplc="E4F88984">
      <w:numFmt w:val="bullet"/>
      <w:lvlText w:val=""/>
      <w:lvlJc w:val="left"/>
      <w:pPr>
        <w:ind w:left="746" w:hanging="369"/>
      </w:pPr>
      <w:rPr>
        <w:rFonts w:ascii="Symbol" w:eastAsia="Symbol" w:hAnsi="Symbol" w:cs="Symbol" w:hint="default"/>
        <w:b w:val="0"/>
        <w:bCs w:val="0"/>
        <w:i w:val="0"/>
        <w:iCs w:val="0"/>
        <w:spacing w:val="0"/>
        <w:w w:val="103"/>
        <w:sz w:val="17"/>
        <w:szCs w:val="17"/>
        <w:lang w:val="en-US" w:eastAsia="en-US" w:bidi="ar-SA"/>
      </w:rPr>
    </w:lvl>
    <w:lvl w:ilvl="1" w:tplc="14F45B56">
      <w:numFmt w:val="bullet"/>
      <w:lvlText w:val="•"/>
      <w:lvlJc w:val="left"/>
      <w:pPr>
        <w:ind w:left="1615" w:hanging="369"/>
      </w:pPr>
      <w:rPr>
        <w:rFonts w:hint="default"/>
        <w:lang w:val="en-US" w:eastAsia="en-US" w:bidi="ar-SA"/>
      </w:rPr>
    </w:lvl>
    <w:lvl w:ilvl="2" w:tplc="83B40504">
      <w:numFmt w:val="bullet"/>
      <w:lvlText w:val="•"/>
      <w:lvlJc w:val="left"/>
      <w:pPr>
        <w:ind w:left="2491" w:hanging="369"/>
      </w:pPr>
      <w:rPr>
        <w:rFonts w:hint="default"/>
        <w:lang w:val="en-US" w:eastAsia="en-US" w:bidi="ar-SA"/>
      </w:rPr>
    </w:lvl>
    <w:lvl w:ilvl="3" w:tplc="AD5E9CDA">
      <w:numFmt w:val="bullet"/>
      <w:lvlText w:val="•"/>
      <w:lvlJc w:val="left"/>
      <w:pPr>
        <w:ind w:left="3366" w:hanging="369"/>
      </w:pPr>
      <w:rPr>
        <w:rFonts w:hint="default"/>
        <w:lang w:val="en-US" w:eastAsia="en-US" w:bidi="ar-SA"/>
      </w:rPr>
    </w:lvl>
    <w:lvl w:ilvl="4" w:tplc="C9E60EE0">
      <w:numFmt w:val="bullet"/>
      <w:lvlText w:val="•"/>
      <w:lvlJc w:val="left"/>
      <w:pPr>
        <w:ind w:left="4242" w:hanging="369"/>
      </w:pPr>
      <w:rPr>
        <w:rFonts w:hint="default"/>
        <w:lang w:val="en-US" w:eastAsia="en-US" w:bidi="ar-SA"/>
      </w:rPr>
    </w:lvl>
    <w:lvl w:ilvl="5" w:tplc="200A798A">
      <w:numFmt w:val="bullet"/>
      <w:lvlText w:val="•"/>
      <w:lvlJc w:val="left"/>
      <w:pPr>
        <w:ind w:left="5117" w:hanging="369"/>
      </w:pPr>
      <w:rPr>
        <w:rFonts w:hint="default"/>
        <w:lang w:val="en-US" w:eastAsia="en-US" w:bidi="ar-SA"/>
      </w:rPr>
    </w:lvl>
    <w:lvl w:ilvl="6" w:tplc="224ACC06">
      <w:numFmt w:val="bullet"/>
      <w:lvlText w:val="•"/>
      <w:lvlJc w:val="left"/>
      <w:pPr>
        <w:ind w:left="5993" w:hanging="369"/>
      </w:pPr>
      <w:rPr>
        <w:rFonts w:hint="default"/>
        <w:lang w:val="en-US" w:eastAsia="en-US" w:bidi="ar-SA"/>
      </w:rPr>
    </w:lvl>
    <w:lvl w:ilvl="7" w:tplc="A19084D6">
      <w:numFmt w:val="bullet"/>
      <w:lvlText w:val="•"/>
      <w:lvlJc w:val="left"/>
      <w:pPr>
        <w:ind w:left="6868" w:hanging="369"/>
      </w:pPr>
      <w:rPr>
        <w:rFonts w:hint="default"/>
        <w:lang w:val="en-US" w:eastAsia="en-US" w:bidi="ar-SA"/>
      </w:rPr>
    </w:lvl>
    <w:lvl w:ilvl="8" w:tplc="7C88D406">
      <w:numFmt w:val="bullet"/>
      <w:lvlText w:val="•"/>
      <w:lvlJc w:val="left"/>
      <w:pPr>
        <w:ind w:left="7744" w:hanging="369"/>
      </w:pPr>
      <w:rPr>
        <w:rFonts w:hint="default"/>
        <w:lang w:val="en-US" w:eastAsia="en-US" w:bidi="ar-SA"/>
      </w:rPr>
    </w:lvl>
  </w:abstractNum>
  <w:abstractNum w:abstractNumId="5" w15:restartNumberingAfterBreak="0">
    <w:nsid w:val="24D957DB"/>
    <w:multiLevelType w:val="multilevel"/>
    <w:tmpl w:val="89DAE2C4"/>
    <w:lvl w:ilvl="0">
      <w:start w:val="3"/>
      <w:numFmt w:val="decimal"/>
      <w:lvlText w:val="%1"/>
      <w:lvlJc w:val="left"/>
      <w:pPr>
        <w:ind w:left="746" w:hanging="721"/>
      </w:pPr>
      <w:rPr>
        <w:rFonts w:hint="default"/>
        <w:lang w:val="en-US" w:eastAsia="en-US" w:bidi="ar-SA"/>
      </w:rPr>
    </w:lvl>
    <w:lvl w:ilvl="1">
      <w:start w:val="1"/>
      <w:numFmt w:val="decimal"/>
      <w:lvlText w:val="%1.%2"/>
      <w:lvlJc w:val="left"/>
      <w:pPr>
        <w:ind w:left="746" w:hanging="721"/>
      </w:pPr>
      <w:rPr>
        <w:rFonts w:hint="default"/>
        <w:lang w:val="en-US" w:eastAsia="en-US" w:bidi="ar-SA"/>
      </w:rPr>
    </w:lvl>
    <w:lvl w:ilvl="2">
      <w:start w:val="4"/>
      <w:numFmt w:val="decimal"/>
      <w:lvlText w:val="%1.%2.%3"/>
      <w:lvlJc w:val="left"/>
      <w:pPr>
        <w:ind w:left="746" w:hanging="721"/>
      </w:pPr>
      <w:rPr>
        <w:rFonts w:ascii="Arial MT" w:eastAsia="Arial MT" w:hAnsi="Arial MT" w:cs="Arial MT" w:hint="default"/>
        <w:b w:val="0"/>
        <w:bCs w:val="0"/>
        <w:i w:val="0"/>
        <w:iCs w:val="0"/>
        <w:spacing w:val="0"/>
        <w:w w:val="101"/>
        <w:sz w:val="22"/>
        <w:szCs w:val="22"/>
        <w:lang w:val="en-US" w:eastAsia="en-US" w:bidi="ar-SA"/>
      </w:rPr>
    </w:lvl>
    <w:lvl w:ilvl="3">
      <w:numFmt w:val="bullet"/>
      <w:lvlText w:val="•"/>
      <w:lvlJc w:val="left"/>
      <w:pPr>
        <w:ind w:left="3366" w:hanging="721"/>
      </w:pPr>
      <w:rPr>
        <w:rFonts w:hint="default"/>
        <w:lang w:val="en-US" w:eastAsia="en-US" w:bidi="ar-SA"/>
      </w:rPr>
    </w:lvl>
    <w:lvl w:ilvl="4">
      <w:numFmt w:val="bullet"/>
      <w:lvlText w:val="•"/>
      <w:lvlJc w:val="left"/>
      <w:pPr>
        <w:ind w:left="4242" w:hanging="721"/>
      </w:pPr>
      <w:rPr>
        <w:rFonts w:hint="default"/>
        <w:lang w:val="en-US" w:eastAsia="en-US" w:bidi="ar-SA"/>
      </w:rPr>
    </w:lvl>
    <w:lvl w:ilvl="5">
      <w:numFmt w:val="bullet"/>
      <w:lvlText w:val="•"/>
      <w:lvlJc w:val="left"/>
      <w:pPr>
        <w:ind w:left="5117" w:hanging="721"/>
      </w:pPr>
      <w:rPr>
        <w:rFonts w:hint="default"/>
        <w:lang w:val="en-US" w:eastAsia="en-US" w:bidi="ar-SA"/>
      </w:rPr>
    </w:lvl>
    <w:lvl w:ilvl="6">
      <w:numFmt w:val="bullet"/>
      <w:lvlText w:val="•"/>
      <w:lvlJc w:val="left"/>
      <w:pPr>
        <w:ind w:left="5993" w:hanging="721"/>
      </w:pPr>
      <w:rPr>
        <w:rFonts w:hint="default"/>
        <w:lang w:val="en-US" w:eastAsia="en-US" w:bidi="ar-SA"/>
      </w:rPr>
    </w:lvl>
    <w:lvl w:ilvl="7">
      <w:numFmt w:val="bullet"/>
      <w:lvlText w:val="•"/>
      <w:lvlJc w:val="left"/>
      <w:pPr>
        <w:ind w:left="6868" w:hanging="721"/>
      </w:pPr>
      <w:rPr>
        <w:rFonts w:hint="default"/>
        <w:lang w:val="en-US" w:eastAsia="en-US" w:bidi="ar-SA"/>
      </w:rPr>
    </w:lvl>
    <w:lvl w:ilvl="8">
      <w:numFmt w:val="bullet"/>
      <w:lvlText w:val="•"/>
      <w:lvlJc w:val="left"/>
      <w:pPr>
        <w:ind w:left="7744" w:hanging="721"/>
      </w:pPr>
      <w:rPr>
        <w:rFonts w:hint="default"/>
        <w:lang w:val="en-US" w:eastAsia="en-US" w:bidi="ar-SA"/>
      </w:rPr>
    </w:lvl>
  </w:abstractNum>
  <w:abstractNum w:abstractNumId="6" w15:restartNumberingAfterBreak="0">
    <w:nsid w:val="26180EFC"/>
    <w:multiLevelType w:val="hybridMultilevel"/>
    <w:tmpl w:val="F2624B84"/>
    <w:lvl w:ilvl="0" w:tplc="848EDF74">
      <w:start w:val="1"/>
      <w:numFmt w:val="decimal"/>
      <w:lvlText w:val="%1."/>
      <w:lvlJc w:val="left"/>
      <w:pPr>
        <w:ind w:left="393" w:hanging="369"/>
      </w:pPr>
      <w:rPr>
        <w:rFonts w:ascii="Arial" w:eastAsia="Arial" w:hAnsi="Arial" w:cs="Arial" w:hint="default"/>
        <w:b/>
        <w:bCs/>
        <w:i w:val="0"/>
        <w:iCs w:val="0"/>
        <w:spacing w:val="-4"/>
        <w:w w:val="99"/>
        <w:sz w:val="21"/>
        <w:szCs w:val="21"/>
        <w:lang w:val="en-US" w:eastAsia="en-US" w:bidi="ar-SA"/>
      </w:rPr>
    </w:lvl>
    <w:lvl w:ilvl="1" w:tplc="019E4FE4">
      <w:numFmt w:val="bullet"/>
      <w:lvlText w:val=""/>
      <w:lvlJc w:val="left"/>
      <w:pPr>
        <w:ind w:left="1162" w:hanging="353"/>
      </w:pPr>
      <w:rPr>
        <w:rFonts w:ascii="Wingdings" w:eastAsia="Wingdings" w:hAnsi="Wingdings" w:cs="Wingdings" w:hint="default"/>
        <w:b w:val="0"/>
        <w:bCs w:val="0"/>
        <w:i w:val="0"/>
        <w:iCs w:val="0"/>
        <w:spacing w:val="0"/>
        <w:w w:val="99"/>
        <w:sz w:val="21"/>
        <w:szCs w:val="21"/>
        <w:lang w:val="en-US" w:eastAsia="en-US" w:bidi="ar-SA"/>
      </w:rPr>
    </w:lvl>
    <w:lvl w:ilvl="2" w:tplc="66568AF0">
      <w:numFmt w:val="bullet"/>
      <w:lvlText w:val="•"/>
      <w:lvlJc w:val="left"/>
      <w:pPr>
        <w:ind w:left="2086" w:hanging="353"/>
      </w:pPr>
      <w:rPr>
        <w:rFonts w:hint="default"/>
        <w:lang w:val="en-US" w:eastAsia="en-US" w:bidi="ar-SA"/>
      </w:rPr>
    </w:lvl>
    <w:lvl w:ilvl="3" w:tplc="9B86D12C">
      <w:numFmt w:val="bullet"/>
      <w:lvlText w:val="•"/>
      <w:lvlJc w:val="left"/>
      <w:pPr>
        <w:ind w:left="3012" w:hanging="353"/>
      </w:pPr>
      <w:rPr>
        <w:rFonts w:hint="default"/>
        <w:lang w:val="en-US" w:eastAsia="en-US" w:bidi="ar-SA"/>
      </w:rPr>
    </w:lvl>
    <w:lvl w:ilvl="4" w:tplc="1E30835E">
      <w:numFmt w:val="bullet"/>
      <w:lvlText w:val="•"/>
      <w:lvlJc w:val="left"/>
      <w:pPr>
        <w:ind w:left="3938" w:hanging="353"/>
      </w:pPr>
      <w:rPr>
        <w:rFonts w:hint="default"/>
        <w:lang w:val="en-US" w:eastAsia="en-US" w:bidi="ar-SA"/>
      </w:rPr>
    </w:lvl>
    <w:lvl w:ilvl="5" w:tplc="2866200E">
      <w:numFmt w:val="bullet"/>
      <w:lvlText w:val="•"/>
      <w:lvlJc w:val="left"/>
      <w:pPr>
        <w:ind w:left="4864" w:hanging="353"/>
      </w:pPr>
      <w:rPr>
        <w:rFonts w:hint="default"/>
        <w:lang w:val="en-US" w:eastAsia="en-US" w:bidi="ar-SA"/>
      </w:rPr>
    </w:lvl>
    <w:lvl w:ilvl="6" w:tplc="2A1E2A06">
      <w:numFmt w:val="bullet"/>
      <w:lvlText w:val="•"/>
      <w:lvlJc w:val="left"/>
      <w:pPr>
        <w:ind w:left="5790" w:hanging="353"/>
      </w:pPr>
      <w:rPr>
        <w:rFonts w:hint="default"/>
        <w:lang w:val="en-US" w:eastAsia="en-US" w:bidi="ar-SA"/>
      </w:rPr>
    </w:lvl>
    <w:lvl w:ilvl="7" w:tplc="871E13E8">
      <w:numFmt w:val="bullet"/>
      <w:lvlText w:val="•"/>
      <w:lvlJc w:val="left"/>
      <w:pPr>
        <w:ind w:left="6716" w:hanging="353"/>
      </w:pPr>
      <w:rPr>
        <w:rFonts w:hint="default"/>
        <w:lang w:val="en-US" w:eastAsia="en-US" w:bidi="ar-SA"/>
      </w:rPr>
    </w:lvl>
    <w:lvl w:ilvl="8" w:tplc="2A183076">
      <w:numFmt w:val="bullet"/>
      <w:lvlText w:val="•"/>
      <w:lvlJc w:val="left"/>
      <w:pPr>
        <w:ind w:left="7642" w:hanging="353"/>
      </w:pPr>
      <w:rPr>
        <w:rFonts w:hint="default"/>
        <w:lang w:val="en-US" w:eastAsia="en-US" w:bidi="ar-SA"/>
      </w:rPr>
    </w:lvl>
  </w:abstractNum>
  <w:abstractNum w:abstractNumId="7" w15:restartNumberingAfterBreak="0">
    <w:nsid w:val="27F8222C"/>
    <w:multiLevelType w:val="hybridMultilevel"/>
    <w:tmpl w:val="7834DFD0"/>
    <w:lvl w:ilvl="0" w:tplc="CE4E0FF8">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F5C4E27E">
      <w:numFmt w:val="bullet"/>
      <w:lvlText w:val="•"/>
      <w:lvlJc w:val="left"/>
      <w:pPr>
        <w:ind w:left="753" w:hanging="369"/>
      </w:pPr>
      <w:rPr>
        <w:rFonts w:hint="default"/>
        <w:lang w:val="en-US" w:eastAsia="en-US" w:bidi="ar-SA"/>
      </w:rPr>
    </w:lvl>
    <w:lvl w:ilvl="2" w:tplc="A488952E">
      <w:numFmt w:val="bullet"/>
      <w:lvlText w:val="•"/>
      <w:lvlJc w:val="left"/>
      <w:pPr>
        <w:ind w:left="1027" w:hanging="369"/>
      </w:pPr>
      <w:rPr>
        <w:rFonts w:hint="default"/>
        <w:lang w:val="en-US" w:eastAsia="en-US" w:bidi="ar-SA"/>
      </w:rPr>
    </w:lvl>
    <w:lvl w:ilvl="3" w:tplc="9DE84418">
      <w:numFmt w:val="bullet"/>
      <w:lvlText w:val="•"/>
      <w:lvlJc w:val="left"/>
      <w:pPr>
        <w:ind w:left="1300" w:hanging="369"/>
      </w:pPr>
      <w:rPr>
        <w:rFonts w:hint="default"/>
        <w:lang w:val="en-US" w:eastAsia="en-US" w:bidi="ar-SA"/>
      </w:rPr>
    </w:lvl>
    <w:lvl w:ilvl="4" w:tplc="A42E1D86">
      <w:numFmt w:val="bullet"/>
      <w:lvlText w:val="•"/>
      <w:lvlJc w:val="left"/>
      <w:pPr>
        <w:ind w:left="1574" w:hanging="369"/>
      </w:pPr>
      <w:rPr>
        <w:rFonts w:hint="default"/>
        <w:lang w:val="en-US" w:eastAsia="en-US" w:bidi="ar-SA"/>
      </w:rPr>
    </w:lvl>
    <w:lvl w:ilvl="5" w:tplc="0D1C6D7E">
      <w:numFmt w:val="bullet"/>
      <w:lvlText w:val="•"/>
      <w:lvlJc w:val="left"/>
      <w:pPr>
        <w:ind w:left="1848" w:hanging="369"/>
      </w:pPr>
      <w:rPr>
        <w:rFonts w:hint="default"/>
        <w:lang w:val="en-US" w:eastAsia="en-US" w:bidi="ar-SA"/>
      </w:rPr>
    </w:lvl>
    <w:lvl w:ilvl="6" w:tplc="F76A573A">
      <w:numFmt w:val="bullet"/>
      <w:lvlText w:val="•"/>
      <w:lvlJc w:val="left"/>
      <w:pPr>
        <w:ind w:left="2121" w:hanging="369"/>
      </w:pPr>
      <w:rPr>
        <w:rFonts w:hint="default"/>
        <w:lang w:val="en-US" w:eastAsia="en-US" w:bidi="ar-SA"/>
      </w:rPr>
    </w:lvl>
    <w:lvl w:ilvl="7" w:tplc="BCE095D8">
      <w:numFmt w:val="bullet"/>
      <w:lvlText w:val="•"/>
      <w:lvlJc w:val="left"/>
      <w:pPr>
        <w:ind w:left="2395" w:hanging="369"/>
      </w:pPr>
      <w:rPr>
        <w:rFonts w:hint="default"/>
        <w:lang w:val="en-US" w:eastAsia="en-US" w:bidi="ar-SA"/>
      </w:rPr>
    </w:lvl>
    <w:lvl w:ilvl="8" w:tplc="1966E556">
      <w:numFmt w:val="bullet"/>
      <w:lvlText w:val="•"/>
      <w:lvlJc w:val="left"/>
      <w:pPr>
        <w:ind w:left="2668" w:hanging="369"/>
      </w:pPr>
      <w:rPr>
        <w:rFonts w:hint="default"/>
        <w:lang w:val="en-US" w:eastAsia="en-US" w:bidi="ar-SA"/>
      </w:rPr>
    </w:lvl>
  </w:abstractNum>
  <w:abstractNum w:abstractNumId="8" w15:restartNumberingAfterBreak="0">
    <w:nsid w:val="28D2403A"/>
    <w:multiLevelType w:val="hybridMultilevel"/>
    <w:tmpl w:val="52643482"/>
    <w:lvl w:ilvl="0" w:tplc="B37C4474">
      <w:start w:val="1"/>
      <w:numFmt w:val="decimal"/>
      <w:lvlText w:val="%1)"/>
      <w:lvlJc w:val="left"/>
      <w:pPr>
        <w:ind w:left="746" w:hanging="353"/>
      </w:pPr>
      <w:rPr>
        <w:rFonts w:ascii="Arial MT" w:eastAsia="Arial MT" w:hAnsi="Arial MT" w:cs="Arial MT" w:hint="default"/>
        <w:b w:val="0"/>
        <w:bCs w:val="0"/>
        <w:i w:val="0"/>
        <w:iCs w:val="0"/>
        <w:spacing w:val="-4"/>
        <w:w w:val="99"/>
        <w:sz w:val="21"/>
        <w:szCs w:val="21"/>
        <w:lang w:val="en-US" w:eastAsia="en-US" w:bidi="ar-SA"/>
      </w:rPr>
    </w:lvl>
    <w:lvl w:ilvl="1" w:tplc="9EACC040">
      <w:numFmt w:val="bullet"/>
      <w:lvlText w:val=""/>
      <w:lvlJc w:val="left"/>
      <w:pPr>
        <w:ind w:left="746" w:hanging="369"/>
      </w:pPr>
      <w:rPr>
        <w:rFonts w:ascii="Symbol" w:eastAsia="Symbol" w:hAnsi="Symbol" w:cs="Symbol" w:hint="default"/>
        <w:b w:val="0"/>
        <w:bCs w:val="0"/>
        <w:i w:val="0"/>
        <w:iCs w:val="0"/>
        <w:spacing w:val="0"/>
        <w:w w:val="103"/>
        <w:sz w:val="17"/>
        <w:szCs w:val="17"/>
        <w:lang w:val="en-US" w:eastAsia="en-US" w:bidi="ar-SA"/>
      </w:rPr>
    </w:lvl>
    <w:lvl w:ilvl="2" w:tplc="0C4279EC">
      <w:numFmt w:val="bullet"/>
      <w:lvlText w:val="•"/>
      <w:lvlJc w:val="left"/>
      <w:pPr>
        <w:ind w:left="2491" w:hanging="369"/>
      </w:pPr>
      <w:rPr>
        <w:rFonts w:hint="default"/>
        <w:lang w:val="en-US" w:eastAsia="en-US" w:bidi="ar-SA"/>
      </w:rPr>
    </w:lvl>
    <w:lvl w:ilvl="3" w:tplc="EF202ACE">
      <w:numFmt w:val="bullet"/>
      <w:lvlText w:val="•"/>
      <w:lvlJc w:val="left"/>
      <w:pPr>
        <w:ind w:left="3366" w:hanging="369"/>
      </w:pPr>
      <w:rPr>
        <w:rFonts w:hint="default"/>
        <w:lang w:val="en-US" w:eastAsia="en-US" w:bidi="ar-SA"/>
      </w:rPr>
    </w:lvl>
    <w:lvl w:ilvl="4" w:tplc="97BECE50">
      <w:numFmt w:val="bullet"/>
      <w:lvlText w:val="•"/>
      <w:lvlJc w:val="left"/>
      <w:pPr>
        <w:ind w:left="4242" w:hanging="369"/>
      </w:pPr>
      <w:rPr>
        <w:rFonts w:hint="default"/>
        <w:lang w:val="en-US" w:eastAsia="en-US" w:bidi="ar-SA"/>
      </w:rPr>
    </w:lvl>
    <w:lvl w:ilvl="5" w:tplc="650CFB16">
      <w:numFmt w:val="bullet"/>
      <w:lvlText w:val="•"/>
      <w:lvlJc w:val="left"/>
      <w:pPr>
        <w:ind w:left="5117" w:hanging="369"/>
      </w:pPr>
      <w:rPr>
        <w:rFonts w:hint="default"/>
        <w:lang w:val="en-US" w:eastAsia="en-US" w:bidi="ar-SA"/>
      </w:rPr>
    </w:lvl>
    <w:lvl w:ilvl="6" w:tplc="2996C3CA">
      <w:numFmt w:val="bullet"/>
      <w:lvlText w:val="•"/>
      <w:lvlJc w:val="left"/>
      <w:pPr>
        <w:ind w:left="5993" w:hanging="369"/>
      </w:pPr>
      <w:rPr>
        <w:rFonts w:hint="default"/>
        <w:lang w:val="en-US" w:eastAsia="en-US" w:bidi="ar-SA"/>
      </w:rPr>
    </w:lvl>
    <w:lvl w:ilvl="7" w:tplc="B61244F4">
      <w:numFmt w:val="bullet"/>
      <w:lvlText w:val="•"/>
      <w:lvlJc w:val="left"/>
      <w:pPr>
        <w:ind w:left="6868" w:hanging="369"/>
      </w:pPr>
      <w:rPr>
        <w:rFonts w:hint="default"/>
        <w:lang w:val="en-US" w:eastAsia="en-US" w:bidi="ar-SA"/>
      </w:rPr>
    </w:lvl>
    <w:lvl w:ilvl="8" w:tplc="B9EE9458">
      <w:numFmt w:val="bullet"/>
      <w:lvlText w:val="•"/>
      <w:lvlJc w:val="left"/>
      <w:pPr>
        <w:ind w:left="7744" w:hanging="369"/>
      </w:pPr>
      <w:rPr>
        <w:rFonts w:hint="default"/>
        <w:lang w:val="en-US" w:eastAsia="en-US" w:bidi="ar-SA"/>
      </w:rPr>
    </w:lvl>
  </w:abstractNum>
  <w:abstractNum w:abstractNumId="9" w15:restartNumberingAfterBreak="0">
    <w:nsid w:val="29526161"/>
    <w:multiLevelType w:val="hybridMultilevel"/>
    <w:tmpl w:val="35821CE0"/>
    <w:lvl w:ilvl="0" w:tplc="4326990C">
      <w:start w:val="41"/>
      <w:numFmt w:val="decimal"/>
      <w:lvlText w:val="%1."/>
      <w:lvlJc w:val="left"/>
      <w:pPr>
        <w:ind w:left="393" w:hanging="369"/>
      </w:pPr>
      <w:rPr>
        <w:rFonts w:ascii="Arial MT" w:eastAsia="Arial MT" w:hAnsi="Arial MT" w:cs="Arial MT" w:hint="default"/>
        <w:b w:val="0"/>
        <w:bCs w:val="0"/>
        <w:i w:val="0"/>
        <w:iCs w:val="0"/>
        <w:spacing w:val="-4"/>
        <w:w w:val="99"/>
        <w:sz w:val="21"/>
        <w:szCs w:val="21"/>
        <w:lang w:val="en-US" w:eastAsia="en-US" w:bidi="ar-SA"/>
      </w:rPr>
    </w:lvl>
    <w:lvl w:ilvl="1" w:tplc="EE84C06C">
      <w:numFmt w:val="bullet"/>
      <w:lvlText w:val=""/>
      <w:lvlJc w:val="left"/>
      <w:pPr>
        <w:ind w:left="746" w:hanging="353"/>
      </w:pPr>
      <w:rPr>
        <w:rFonts w:ascii="Symbol" w:eastAsia="Symbol" w:hAnsi="Symbol" w:cs="Symbol" w:hint="default"/>
        <w:spacing w:val="0"/>
        <w:w w:val="103"/>
        <w:lang w:val="en-US" w:eastAsia="en-US" w:bidi="ar-SA"/>
      </w:rPr>
    </w:lvl>
    <w:lvl w:ilvl="2" w:tplc="7BF4AA58">
      <w:numFmt w:val="bullet"/>
      <w:lvlText w:val="•"/>
      <w:lvlJc w:val="left"/>
      <w:pPr>
        <w:ind w:left="1120" w:hanging="353"/>
      </w:pPr>
      <w:rPr>
        <w:rFonts w:hint="default"/>
        <w:lang w:val="en-US" w:eastAsia="en-US" w:bidi="ar-SA"/>
      </w:rPr>
    </w:lvl>
    <w:lvl w:ilvl="3" w:tplc="66EE4A6A">
      <w:numFmt w:val="bullet"/>
      <w:lvlText w:val="•"/>
      <w:lvlJc w:val="left"/>
      <w:pPr>
        <w:ind w:left="2166" w:hanging="353"/>
      </w:pPr>
      <w:rPr>
        <w:rFonts w:hint="default"/>
        <w:lang w:val="en-US" w:eastAsia="en-US" w:bidi="ar-SA"/>
      </w:rPr>
    </w:lvl>
    <w:lvl w:ilvl="4" w:tplc="1C3C6F96">
      <w:numFmt w:val="bullet"/>
      <w:lvlText w:val="•"/>
      <w:lvlJc w:val="left"/>
      <w:pPr>
        <w:ind w:left="3213" w:hanging="353"/>
      </w:pPr>
      <w:rPr>
        <w:rFonts w:hint="default"/>
        <w:lang w:val="en-US" w:eastAsia="en-US" w:bidi="ar-SA"/>
      </w:rPr>
    </w:lvl>
    <w:lvl w:ilvl="5" w:tplc="2FCAB09E">
      <w:numFmt w:val="bullet"/>
      <w:lvlText w:val="•"/>
      <w:lvlJc w:val="left"/>
      <w:pPr>
        <w:ind w:left="4260" w:hanging="353"/>
      </w:pPr>
      <w:rPr>
        <w:rFonts w:hint="default"/>
        <w:lang w:val="en-US" w:eastAsia="en-US" w:bidi="ar-SA"/>
      </w:rPr>
    </w:lvl>
    <w:lvl w:ilvl="6" w:tplc="51443664">
      <w:numFmt w:val="bullet"/>
      <w:lvlText w:val="•"/>
      <w:lvlJc w:val="left"/>
      <w:pPr>
        <w:ind w:left="5307" w:hanging="353"/>
      </w:pPr>
      <w:rPr>
        <w:rFonts w:hint="default"/>
        <w:lang w:val="en-US" w:eastAsia="en-US" w:bidi="ar-SA"/>
      </w:rPr>
    </w:lvl>
    <w:lvl w:ilvl="7" w:tplc="0F86093C">
      <w:numFmt w:val="bullet"/>
      <w:lvlText w:val="•"/>
      <w:lvlJc w:val="left"/>
      <w:pPr>
        <w:ind w:left="6354" w:hanging="353"/>
      </w:pPr>
      <w:rPr>
        <w:rFonts w:hint="default"/>
        <w:lang w:val="en-US" w:eastAsia="en-US" w:bidi="ar-SA"/>
      </w:rPr>
    </w:lvl>
    <w:lvl w:ilvl="8" w:tplc="C7B4CB36">
      <w:numFmt w:val="bullet"/>
      <w:lvlText w:val="•"/>
      <w:lvlJc w:val="left"/>
      <w:pPr>
        <w:ind w:left="7401" w:hanging="353"/>
      </w:pPr>
      <w:rPr>
        <w:rFonts w:hint="default"/>
        <w:lang w:val="en-US" w:eastAsia="en-US" w:bidi="ar-SA"/>
      </w:rPr>
    </w:lvl>
  </w:abstractNum>
  <w:abstractNum w:abstractNumId="10" w15:restartNumberingAfterBreak="0">
    <w:nsid w:val="2A775DB2"/>
    <w:multiLevelType w:val="hybridMultilevel"/>
    <w:tmpl w:val="8D5C8328"/>
    <w:lvl w:ilvl="0" w:tplc="399C9514">
      <w:start w:val="1"/>
      <w:numFmt w:val="lowerRoman"/>
      <w:lvlText w:val="%1"/>
      <w:lvlJc w:val="left"/>
      <w:pPr>
        <w:ind w:left="810" w:hanging="369"/>
      </w:pPr>
      <w:rPr>
        <w:rFonts w:ascii="Arial MT" w:eastAsia="Arial MT" w:hAnsi="Arial MT" w:cs="Arial MT" w:hint="default"/>
        <w:b w:val="0"/>
        <w:bCs w:val="0"/>
        <w:i w:val="0"/>
        <w:iCs w:val="0"/>
        <w:spacing w:val="0"/>
        <w:w w:val="99"/>
        <w:sz w:val="21"/>
        <w:szCs w:val="21"/>
        <w:lang w:val="en-US" w:eastAsia="en-US" w:bidi="ar-SA"/>
      </w:rPr>
    </w:lvl>
    <w:lvl w:ilvl="1" w:tplc="A34AC698">
      <w:start w:val="1"/>
      <w:numFmt w:val="decimal"/>
      <w:lvlText w:val="%2)"/>
      <w:lvlJc w:val="left"/>
      <w:pPr>
        <w:ind w:left="746" w:hanging="353"/>
      </w:pPr>
      <w:rPr>
        <w:rFonts w:ascii="Arial MT" w:eastAsia="Arial MT" w:hAnsi="Arial MT" w:cs="Arial MT" w:hint="default"/>
        <w:b w:val="0"/>
        <w:bCs w:val="0"/>
        <w:i w:val="0"/>
        <w:iCs w:val="0"/>
        <w:spacing w:val="-4"/>
        <w:w w:val="99"/>
        <w:sz w:val="21"/>
        <w:szCs w:val="21"/>
        <w:lang w:val="en-US" w:eastAsia="en-US" w:bidi="ar-SA"/>
      </w:rPr>
    </w:lvl>
    <w:lvl w:ilvl="2" w:tplc="65420734">
      <w:numFmt w:val="bullet"/>
      <w:lvlText w:val="•"/>
      <w:lvlJc w:val="left"/>
      <w:pPr>
        <w:ind w:left="1783" w:hanging="353"/>
      </w:pPr>
      <w:rPr>
        <w:rFonts w:hint="default"/>
        <w:lang w:val="en-US" w:eastAsia="en-US" w:bidi="ar-SA"/>
      </w:rPr>
    </w:lvl>
    <w:lvl w:ilvl="3" w:tplc="A3080664">
      <w:numFmt w:val="bullet"/>
      <w:lvlText w:val="•"/>
      <w:lvlJc w:val="left"/>
      <w:pPr>
        <w:ind w:left="2747" w:hanging="353"/>
      </w:pPr>
      <w:rPr>
        <w:rFonts w:hint="default"/>
        <w:lang w:val="en-US" w:eastAsia="en-US" w:bidi="ar-SA"/>
      </w:rPr>
    </w:lvl>
    <w:lvl w:ilvl="4" w:tplc="84D43246">
      <w:numFmt w:val="bullet"/>
      <w:lvlText w:val="•"/>
      <w:lvlJc w:val="left"/>
      <w:pPr>
        <w:ind w:left="3711" w:hanging="353"/>
      </w:pPr>
      <w:rPr>
        <w:rFonts w:hint="default"/>
        <w:lang w:val="en-US" w:eastAsia="en-US" w:bidi="ar-SA"/>
      </w:rPr>
    </w:lvl>
    <w:lvl w:ilvl="5" w:tplc="08E0B4FE">
      <w:numFmt w:val="bullet"/>
      <w:lvlText w:val="•"/>
      <w:lvlJc w:val="left"/>
      <w:pPr>
        <w:ind w:left="4675" w:hanging="353"/>
      </w:pPr>
      <w:rPr>
        <w:rFonts w:hint="default"/>
        <w:lang w:val="en-US" w:eastAsia="en-US" w:bidi="ar-SA"/>
      </w:rPr>
    </w:lvl>
    <w:lvl w:ilvl="6" w:tplc="F0B27A94">
      <w:numFmt w:val="bullet"/>
      <w:lvlText w:val="•"/>
      <w:lvlJc w:val="left"/>
      <w:pPr>
        <w:ind w:left="5639" w:hanging="353"/>
      </w:pPr>
      <w:rPr>
        <w:rFonts w:hint="default"/>
        <w:lang w:val="en-US" w:eastAsia="en-US" w:bidi="ar-SA"/>
      </w:rPr>
    </w:lvl>
    <w:lvl w:ilvl="7" w:tplc="E3689E08">
      <w:numFmt w:val="bullet"/>
      <w:lvlText w:val="•"/>
      <w:lvlJc w:val="left"/>
      <w:pPr>
        <w:ind w:left="6603" w:hanging="353"/>
      </w:pPr>
      <w:rPr>
        <w:rFonts w:hint="default"/>
        <w:lang w:val="en-US" w:eastAsia="en-US" w:bidi="ar-SA"/>
      </w:rPr>
    </w:lvl>
    <w:lvl w:ilvl="8" w:tplc="2DCE8E0C">
      <w:numFmt w:val="bullet"/>
      <w:lvlText w:val="•"/>
      <w:lvlJc w:val="left"/>
      <w:pPr>
        <w:ind w:left="7567" w:hanging="353"/>
      </w:pPr>
      <w:rPr>
        <w:rFonts w:hint="default"/>
        <w:lang w:val="en-US" w:eastAsia="en-US" w:bidi="ar-SA"/>
      </w:rPr>
    </w:lvl>
  </w:abstractNum>
  <w:abstractNum w:abstractNumId="11" w15:restartNumberingAfterBreak="0">
    <w:nsid w:val="2B1618C0"/>
    <w:multiLevelType w:val="hybridMultilevel"/>
    <w:tmpl w:val="78EECC4E"/>
    <w:lvl w:ilvl="0" w:tplc="6D34DE70">
      <w:start w:val="1"/>
      <w:numFmt w:val="lowerLetter"/>
      <w:lvlText w:val="%1)"/>
      <w:lvlJc w:val="left"/>
      <w:pPr>
        <w:ind w:left="746" w:hanging="353"/>
      </w:pPr>
      <w:rPr>
        <w:rFonts w:ascii="Arial MT" w:eastAsia="Arial MT" w:hAnsi="Arial MT" w:cs="Arial MT" w:hint="default"/>
        <w:b w:val="0"/>
        <w:bCs w:val="0"/>
        <w:i w:val="0"/>
        <w:iCs w:val="0"/>
        <w:spacing w:val="-4"/>
        <w:w w:val="99"/>
        <w:sz w:val="21"/>
        <w:szCs w:val="21"/>
        <w:lang w:val="en-US" w:eastAsia="en-US" w:bidi="ar-SA"/>
      </w:rPr>
    </w:lvl>
    <w:lvl w:ilvl="1" w:tplc="0DFA7378">
      <w:numFmt w:val="bullet"/>
      <w:lvlText w:val="•"/>
      <w:lvlJc w:val="left"/>
      <w:pPr>
        <w:ind w:left="1615" w:hanging="353"/>
      </w:pPr>
      <w:rPr>
        <w:rFonts w:hint="default"/>
        <w:lang w:val="en-US" w:eastAsia="en-US" w:bidi="ar-SA"/>
      </w:rPr>
    </w:lvl>
    <w:lvl w:ilvl="2" w:tplc="45FA0A84">
      <w:numFmt w:val="bullet"/>
      <w:lvlText w:val="•"/>
      <w:lvlJc w:val="left"/>
      <w:pPr>
        <w:ind w:left="2491" w:hanging="353"/>
      </w:pPr>
      <w:rPr>
        <w:rFonts w:hint="default"/>
        <w:lang w:val="en-US" w:eastAsia="en-US" w:bidi="ar-SA"/>
      </w:rPr>
    </w:lvl>
    <w:lvl w:ilvl="3" w:tplc="EA66D058">
      <w:numFmt w:val="bullet"/>
      <w:lvlText w:val="•"/>
      <w:lvlJc w:val="left"/>
      <w:pPr>
        <w:ind w:left="3366" w:hanging="353"/>
      </w:pPr>
      <w:rPr>
        <w:rFonts w:hint="default"/>
        <w:lang w:val="en-US" w:eastAsia="en-US" w:bidi="ar-SA"/>
      </w:rPr>
    </w:lvl>
    <w:lvl w:ilvl="4" w:tplc="738059DC">
      <w:numFmt w:val="bullet"/>
      <w:lvlText w:val="•"/>
      <w:lvlJc w:val="left"/>
      <w:pPr>
        <w:ind w:left="4242" w:hanging="353"/>
      </w:pPr>
      <w:rPr>
        <w:rFonts w:hint="default"/>
        <w:lang w:val="en-US" w:eastAsia="en-US" w:bidi="ar-SA"/>
      </w:rPr>
    </w:lvl>
    <w:lvl w:ilvl="5" w:tplc="BA0E4B2C">
      <w:numFmt w:val="bullet"/>
      <w:lvlText w:val="•"/>
      <w:lvlJc w:val="left"/>
      <w:pPr>
        <w:ind w:left="5117" w:hanging="353"/>
      </w:pPr>
      <w:rPr>
        <w:rFonts w:hint="default"/>
        <w:lang w:val="en-US" w:eastAsia="en-US" w:bidi="ar-SA"/>
      </w:rPr>
    </w:lvl>
    <w:lvl w:ilvl="6" w:tplc="5EFC82D6">
      <w:numFmt w:val="bullet"/>
      <w:lvlText w:val="•"/>
      <w:lvlJc w:val="left"/>
      <w:pPr>
        <w:ind w:left="5993" w:hanging="353"/>
      </w:pPr>
      <w:rPr>
        <w:rFonts w:hint="default"/>
        <w:lang w:val="en-US" w:eastAsia="en-US" w:bidi="ar-SA"/>
      </w:rPr>
    </w:lvl>
    <w:lvl w:ilvl="7" w:tplc="E3780CD2">
      <w:numFmt w:val="bullet"/>
      <w:lvlText w:val="•"/>
      <w:lvlJc w:val="left"/>
      <w:pPr>
        <w:ind w:left="6868" w:hanging="353"/>
      </w:pPr>
      <w:rPr>
        <w:rFonts w:hint="default"/>
        <w:lang w:val="en-US" w:eastAsia="en-US" w:bidi="ar-SA"/>
      </w:rPr>
    </w:lvl>
    <w:lvl w:ilvl="8" w:tplc="36585BC2">
      <w:numFmt w:val="bullet"/>
      <w:lvlText w:val="•"/>
      <w:lvlJc w:val="left"/>
      <w:pPr>
        <w:ind w:left="7744" w:hanging="353"/>
      </w:pPr>
      <w:rPr>
        <w:rFonts w:hint="default"/>
        <w:lang w:val="en-US" w:eastAsia="en-US" w:bidi="ar-SA"/>
      </w:rPr>
    </w:lvl>
  </w:abstractNum>
  <w:abstractNum w:abstractNumId="12" w15:restartNumberingAfterBreak="0">
    <w:nsid w:val="2CC12DB5"/>
    <w:multiLevelType w:val="hybridMultilevel"/>
    <w:tmpl w:val="757209A6"/>
    <w:lvl w:ilvl="0" w:tplc="83642D28">
      <w:start w:val="160"/>
      <w:numFmt w:val="decimal"/>
      <w:lvlText w:val="%1."/>
      <w:lvlJc w:val="left"/>
      <w:pPr>
        <w:ind w:left="393" w:hanging="721"/>
      </w:pPr>
      <w:rPr>
        <w:rFonts w:hint="default"/>
        <w:spacing w:val="-4"/>
        <w:w w:val="99"/>
        <w:lang w:val="en-US" w:eastAsia="en-US" w:bidi="ar-SA"/>
      </w:rPr>
    </w:lvl>
    <w:lvl w:ilvl="1" w:tplc="CEDEA274">
      <w:start w:val="1"/>
      <w:numFmt w:val="lowerLetter"/>
      <w:lvlText w:val="(%2)"/>
      <w:lvlJc w:val="left"/>
      <w:pPr>
        <w:ind w:left="296" w:hanging="272"/>
      </w:pPr>
      <w:rPr>
        <w:rFonts w:ascii="Arial" w:eastAsia="Arial" w:hAnsi="Arial" w:cs="Arial" w:hint="default"/>
        <w:b w:val="0"/>
        <w:bCs w:val="0"/>
        <w:i/>
        <w:iCs/>
        <w:spacing w:val="-2"/>
        <w:w w:val="103"/>
        <w:sz w:val="17"/>
        <w:szCs w:val="17"/>
        <w:lang w:val="en-US" w:eastAsia="en-US" w:bidi="ar-SA"/>
      </w:rPr>
    </w:lvl>
    <w:lvl w:ilvl="2" w:tplc="EC2276C2">
      <w:numFmt w:val="bullet"/>
      <w:lvlText w:val="•"/>
      <w:lvlJc w:val="left"/>
      <w:pPr>
        <w:ind w:left="1410" w:hanging="272"/>
      </w:pPr>
      <w:rPr>
        <w:rFonts w:hint="default"/>
        <w:lang w:val="en-US" w:eastAsia="en-US" w:bidi="ar-SA"/>
      </w:rPr>
    </w:lvl>
    <w:lvl w:ilvl="3" w:tplc="65AE1E6A">
      <w:numFmt w:val="bullet"/>
      <w:lvlText w:val="•"/>
      <w:lvlJc w:val="left"/>
      <w:pPr>
        <w:ind w:left="2421" w:hanging="272"/>
      </w:pPr>
      <w:rPr>
        <w:rFonts w:hint="default"/>
        <w:lang w:val="en-US" w:eastAsia="en-US" w:bidi="ar-SA"/>
      </w:rPr>
    </w:lvl>
    <w:lvl w:ilvl="4" w:tplc="0CEC0A08">
      <w:numFmt w:val="bullet"/>
      <w:lvlText w:val="•"/>
      <w:lvlJc w:val="left"/>
      <w:pPr>
        <w:ind w:left="3431" w:hanging="272"/>
      </w:pPr>
      <w:rPr>
        <w:rFonts w:hint="default"/>
        <w:lang w:val="en-US" w:eastAsia="en-US" w:bidi="ar-SA"/>
      </w:rPr>
    </w:lvl>
    <w:lvl w:ilvl="5" w:tplc="57BA108A">
      <w:numFmt w:val="bullet"/>
      <w:lvlText w:val="•"/>
      <w:lvlJc w:val="left"/>
      <w:pPr>
        <w:ind w:left="4442" w:hanging="272"/>
      </w:pPr>
      <w:rPr>
        <w:rFonts w:hint="default"/>
        <w:lang w:val="en-US" w:eastAsia="en-US" w:bidi="ar-SA"/>
      </w:rPr>
    </w:lvl>
    <w:lvl w:ilvl="6" w:tplc="FBBE5FD2">
      <w:numFmt w:val="bullet"/>
      <w:lvlText w:val="•"/>
      <w:lvlJc w:val="left"/>
      <w:pPr>
        <w:ind w:left="5452" w:hanging="272"/>
      </w:pPr>
      <w:rPr>
        <w:rFonts w:hint="default"/>
        <w:lang w:val="en-US" w:eastAsia="en-US" w:bidi="ar-SA"/>
      </w:rPr>
    </w:lvl>
    <w:lvl w:ilvl="7" w:tplc="8A6279DE">
      <w:numFmt w:val="bullet"/>
      <w:lvlText w:val="•"/>
      <w:lvlJc w:val="left"/>
      <w:pPr>
        <w:ind w:left="6463" w:hanging="272"/>
      </w:pPr>
      <w:rPr>
        <w:rFonts w:hint="default"/>
        <w:lang w:val="en-US" w:eastAsia="en-US" w:bidi="ar-SA"/>
      </w:rPr>
    </w:lvl>
    <w:lvl w:ilvl="8" w:tplc="CE4247B4">
      <w:numFmt w:val="bullet"/>
      <w:lvlText w:val="•"/>
      <w:lvlJc w:val="left"/>
      <w:pPr>
        <w:ind w:left="7473" w:hanging="272"/>
      </w:pPr>
      <w:rPr>
        <w:rFonts w:hint="default"/>
        <w:lang w:val="en-US" w:eastAsia="en-US" w:bidi="ar-SA"/>
      </w:rPr>
    </w:lvl>
  </w:abstractNum>
  <w:abstractNum w:abstractNumId="13" w15:restartNumberingAfterBreak="0">
    <w:nsid w:val="2E175C71"/>
    <w:multiLevelType w:val="hybridMultilevel"/>
    <w:tmpl w:val="563227EE"/>
    <w:lvl w:ilvl="0" w:tplc="24AADBBC">
      <w:start w:val="2"/>
      <w:numFmt w:val="decimal"/>
      <w:lvlText w:val="(%1)"/>
      <w:lvlJc w:val="left"/>
      <w:pPr>
        <w:ind w:left="345" w:hanging="321"/>
      </w:pPr>
      <w:rPr>
        <w:rFonts w:hint="default"/>
        <w:spacing w:val="-10"/>
        <w:w w:val="100"/>
        <w:lang w:val="en-US" w:eastAsia="en-US" w:bidi="ar-SA"/>
      </w:rPr>
    </w:lvl>
    <w:lvl w:ilvl="1" w:tplc="740685E8">
      <w:start w:val="1"/>
      <w:numFmt w:val="lowerLetter"/>
      <w:lvlText w:val="%2."/>
      <w:lvlJc w:val="left"/>
      <w:pPr>
        <w:ind w:left="874" w:hanging="353"/>
      </w:pPr>
      <w:rPr>
        <w:rFonts w:ascii="Arial MT" w:eastAsia="Arial MT" w:hAnsi="Arial MT" w:cs="Arial MT" w:hint="default"/>
        <w:b w:val="0"/>
        <w:bCs w:val="0"/>
        <w:i w:val="0"/>
        <w:iCs w:val="0"/>
        <w:spacing w:val="-4"/>
        <w:w w:val="99"/>
        <w:sz w:val="21"/>
        <w:szCs w:val="21"/>
        <w:lang w:val="en-US" w:eastAsia="en-US" w:bidi="ar-SA"/>
      </w:rPr>
    </w:lvl>
    <w:lvl w:ilvl="2" w:tplc="B72CC530">
      <w:numFmt w:val="bullet"/>
      <w:lvlText w:val="•"/>
      <w:lvlJc w:val="left"/>
      <w:pPr>
        <w:ind w:left="1837" w:hanging="353"/>
      </w:pPr>
      <w:rPr>
        <w:rFonts w:hint="default"/>
        <w:lang w:val="en-US" w:eastAsia="en-US" w:bidi="ar-SA"/>
      </w:rPr>
    </w:lvl>
    <w:lvl w:ilvl="3" w:tplc="63122EB6">
      <w:numFmt w:val="bullet"/>
      <w:lvlText w:val="•"/>
      <w:lvlJc w:val="left"/>
      <w:pPr>
        <w:ind w:left="2794" w:hanging="353"/>
      </w:pPr>
      <w:rPr>
        <w:rFonts w:hint="default"/>
        <w:lang w:val="en-US" w:eastAsia="en-US" w:bidi="ar-SA"/>
      </w:rPr>
    </w:lvl>
    <w:lvl w:ilvl="4" w:tplc="81C4C0EA">
      <w:numFmt w:val="bullet"/>
      <w:lvlText w:val="•"/>
      <w:lvlJc w:val="left"/>
      <w:pPr>
        <w:ind w:left="3751" w:hanging="353"/>
      </w:pPr>
      <w:rPr>
        <w:rFonts w:hint="default"/>
        <w:lang w:val="en-US" w:eastAsia="en-US" w:bidi="ar-SA"/>
      </w:rPr>
    </w:lvl>
    <w:lvl w:ilvl="5" w:tplc="715EA68C">
      <w:numFmt w:val="bullet"/>
      <w:lvlText w:val="•"/>
      <w:lvlJc w:val="left"/>
      <w:pPr>
        <w:ind w:left="4708" w:hanging="353"/>
      </w:pPr>
      <w:rPr>
        <w:rFonts w:hint="default"/>
        <w:lang w:val="en-US" w:eastAsia="en-US" w:bidi="ar-SA"/>
      </w:rPr>
    </w:lvl>
    <w:lvl w:ilvl="6" w:tplc="CAA6E4C2">
      <w:numFmt w:val="bullet"/>
      <w:lvlText w:val="•"/>
      <w:lvlJc w:val="left"/>
      <w:pPr>
        <w:ind w:left="5666" w:hanging="353"/>
      </w:pPr>
      <w:rPr>
        <w:rFonts w:hint="default"/>
        <w:lang w:val="en-US" w:eastAsia="en-US" w:bidi="ar-SA"/>
      </w:rPr>
    </w:lvl>
    <w:lvl w:ilvl="7" w:tplc="AB182D54">
      <w:numFmt w:val="bullet"/>
      <w:lvlText w:val="•"/>
      <w:lvlJc w:val="left"/>
      <w:pPr>
        <w:ind w:left="6623" w:hanging="353"/>
      </w:pPr>
      <w:rPr>
        <w:rFonts w:hint="default"/>
        <w:lang w:val="en-US" w:eastAsia="en-US" w:bidi="ar-SA"/>
      </w:rPr>
    </w:lvl>
    <w:lvl w:ilvl="8" w:tplc="48569E9E">
      <w:numFmt w:val="bullet"/>
      <w:lvlText w:val="•"/>
      <w:lvlJc w:val="left"/>
      <w:pPr>
        <w:ind w:left="7580" w:hanging="353"/>
      </w:pPr>
      <w:rPr>
        <w:rFonts w:hint="default"/>
        <w:lang w:val="en-US" w:eastAsia="en-US" w:bidi="ar-SA"/>
      </w:rPr>
    </w:lvl>
  </w:abstractNum>
  <w:abstractNum w:abstractNumId="14" w15:restartNumberingAfterBreak="0">
    <w:nsid w:val="30782425"/>
    <w:multiLevelType w:val="hybridMultilevel"/>
    <w:tmpl w:val="9B14FA72"/>
    <w:lvl w:ilvl="0" w:tplc="7414B722">
      <w:start w:val="1"/>
      <w:numFmt w:val="lowerRoman"/>
      <w:lvlText w:val="(%1)"/>
      <w:lvlJc w:val="left"/>
      <w:pPr>
        <w:ind w:left="1114" w:hanging="721"/>
      </w:pPr>
      <w:rPr>
        <w:rFonts w:hint="default"/>
        <w:spacing w:val="-6"/>
        <w:w w:val="99"/>
        <w:lang w:val="en-US" w:eastAsia="en-US" w:bidi="ar-SA"/>
      </w:rPr>
    </w:lvl>
    <w:lvl w:ilvl="1" w:tplc="310C137A">
      <w:start w:val="1"/>
      <w:numFmt w:val="decimal"/>
      <w:lvlText w:val="%2)"/>
      <w:lvlJc w:val="left"/>
      <w:pPr>
        <w:ind w:left="746" w:hanging="353"/>
      </w:pPr>
      <w:rPr>
        <w:rFonts w:ascii="Arial MT" w:eastAsia="Arial MT" w:hAnsi="Arial MT" w:cs="Arial MT" w:hint="default"/>
        <w:b w:val="0"/>
        <w:bCs w:val="0"/>
        <w:i w:val="0"/>
        <w:iCs w:val="0"/>
        <w:spacing w:val="-4"/>
        <w:w w:val="99"/>
        <w:sz w:val="21"/>
        <w:szCs w:val="21"/>
        <w:lang w:val="en-US" w:eastAsia="en-US" w:bidi="ar-SA"/>
      </w:rPr>
    </w:lvl>
    <w:lvl w:ilvl="2" w:tplc="B2E45FB0">
      <w:numFmt w:val="bullet"/>
      <w:lvlText w:val="•"/>
      <w:lvlJc w:val="left"/>
      <w:pPr>
        <w:ind w:left="2050" w:hanging="353"/>
      </w:pPr>
      <w:rPr>
        <w:rFonts w:hint="default"/>
        <w:lang w:val="en-US" w:eastAsia="en-US" w:bidi="ar-SA"/>
      </w:rPr>
    </w:lvl>
    <w:lvl w:ilvl="3" w:tplc="6E506C02">
      <w:numFmt w:val="bullet"/>
      <w:lvlText w:val="•"/>
      <w:lvlJc w:val="left"/>
      <w:pPr>
        <w:ind w:left="2981" w:hanging="353"/>
      </w:pPr>
      <w:rPr>
        <w:rFonts w:hint="default"/>
        <w:lang w:val="en-US" w:eastAsia="en-US" w:bidi="ar-SA"/>
      </w:rPr>
    </w:lvl>
    <w:lvl w:ilvl="4" w:tplc="0B2E426C">
      <w:numFmt w:val="bullet"/>
      <w:lvlText w:val="•"/>
      <w:lvlJc w:val="left"/>
      <w:pPr>
        <w:ind w:left="3911" w:hanging="353"/>
      </w:pPr>
      <w:rPr>
        <w:rFonts w:hint="default"/>
        <w:lang w:val="en-US" w:eastAsia="en-US" w:bidi="ar-SA"/>
      </w:rPr>
    </w:lvl>
    <w:lvl w:ilvl="5" w:tplc="7FB6F844">
      <w:numFmt w:val="bullet"/>
      <w:lvlText w:val="•"/>
      <w:lvlJc w:val="left"/>
      <w:pPr>
        <w:ind w:left="4842" w:hanging="353"/>
      </w:pPr>
      <w:rPr>
        <w:rFonts w:hint="default"/>
        <w:lang w:val="en-US" w:eastAsia="en-US" w:bidi="ar-SA"/>
      </w:rPr>
    </w:lvl>
    <w:lvl w:ilvl="6" w:tplc="01FECB0A">
      <w:numFmt w:val="bullet"/>
      <w:lvlText w:val="•"/>
      <w:lvlJc w:val="left"/>
      <w:pPr>
        <w:ind w:left="5772" w:hanging="353"/>
      </w:pPr>
      <w:rPr>
        <w:rFonts w:hint="default"/>
        <w:lang w:val="en-US" w:eastAsia="en-US" w:bidi="ar-SA"/>
      </w:rPr>
    </w:lvl>
    <w:lvl w:ilvl="7" w:tplc="CF6CF3F8">
      <w:numFmt w:val="bullet"/>
      <w:lvlText w:val="•"/>
      <w:lvlJc w:val="left"/>
      <w:pPr>
        <w:ind w:left="6703" w:hanging="353"/>
      </w:pPr>
      <w:rPr>
        <w:rFonts w:hint="default"/>
        <w:lang w:val="en-US" w:eastAsia="en-US" w:bidi="ar-SA"/>
      </w:rPr>
    </w:lvl>
    <w:lvl w:ilvl="8" w:tplc="101E92B0">
      <w:numFmt w:val="bullet"/>
      <w:lvlText w:val="•"/>
      <w:lvlJc w:val="left"/>
      <w:pPr>
        <w:ind w:left="7633" w:hanging="353"/>
      </w:pPr>
      <w:rPr>
        <w:rFonts w:hint="default"/>
        <w:lang w:val="en-US" w:eastAsia="en-US" w:bidi="ar-SA"/>
      </w:rPr>
    </w:lvl>
  </w:abstractNum>
  <w:abstractNum w:abstractNumId="15" w15:restartNumberingAfterBreak="0">
    <w:nsid w:val="329B22C3"/>
    <w:multiLevelType w:val="hybridMultilevel"/>
    <w:tmpl w:val="A2703510"/>
    <w:lvl w:ilvl="0" w:tplc="0DAA8858">
      <w:numFmt w:val="bullet"/>
      <w:lvlText w:val=""/>
      <w:lvlJc w:val="left"/>
      <w:pPr>
        <w:ind w:left="746" w:hanging="353"/>
      </w:pPr>
      <w:rPr>
        <w:rFonts w:ascii="Symbol" w:eastAsia="Symbol" w:hAnsi="Symbol" w:cs="Symbol" w:hint="default"/>
        <w:b w:val="0"/>
        <w:bCs w:val="0"/>
        <w:i w:val="0"/>
        <w:iCs w:val="0"/>
        <w:spacing w:val="0"/>
        <w:w w:val="99"/>
        <w:sz w:val="21"/>
        <w:szCs w:val="21"/>
        <w:lang w:val="en-US" w:eastAsia="en-US" w:bidi="ar-SA"/>
      </w:rPr>
    </w:lvl>
    <w:lvl w:ilvl="1" w:tplc="3CD4FF82">
      <w:numFmt w:val="bullet"/>
      <w:lvlText w:val=""/>
      <w:lvlJc w:val="left"/>
      <w:pPr>
        <w:ind w:left="1114" w:hanging="369"/>
      </w:pPr>
      <w:rPr>
        <w:rFonts w:ascii="Symbol" w:eastAsia="Symbol" w:hAnsi="Symbol" w:cs="Symbol" w:hint="default"/>
        <w:b w:val="0"/>
        <w:bCs w:val="0"/>
        <w:i w:val="0"/>
        <w:iCs w:val="0"/>
        <w:spacing w:val="0"/>
        <w:w w:val="99"/>
        <w:sz w:val="21"/>
        <w:szCs w:val="21"/>
        <w:lang w:val="en-US" w:eastAsia="en-US" w:bidi="ar-SA"/>
      </w:rPr>
    </w:lvl>
    <w:lvl w:ilvl="2" w:tplc="C06444B8">
      <w:numFmt w:val="bullet"/>
      <w:lvlText w:val="•"/>
      <w:lvlJc w:val="left"/>
      <w:pPr>
        <w:ind w:left="2050" w:hanging="369"/>
      </w:pPr>
      <w:rPr>
        <w:rFonts w:hint="default"/>
        <w:lang w:val="en-US" w:eastAsia="en-US" w:bidi="ar-SA"/>
      </w:rPr>
    </w:lvl>
    <w:lvl w:ilvl="3" w:tplc="CD1679C6">
      <w:numFmt w:val="bullet"/>
      <w:lvlText w:val="•"/>
      <w:lvlJc w:val="left"/>
      <w:pPr>
        <w:ind w:left="2981" w:hanging="369"/>
      </w:pPr>
      <w:rPr>
        <w:rFonts w:hint="default"/>
        <w:lang w:val="en-US" w:eastAsia="en-US" w:bidi="ar-SA"/>
      </w:rPr>
    </w:lvl>
    <w:lvl w:ilvl="4" w:tplc="1A661DE8">
      <w:numFmt w:val="bullet"/>
      <w:lvlText w:val="•"/>
      <w:lvlJc w:val="left"/>
      <w:pPr>
        <w:ind w:left="3911" w:hanging="369"/>
      </w:pPr>
      <w:rPr>
        <w:rFonts w:hint="default"/>
        <w:lang w:val="en-US" w:eastAsia="en-US" w:bidi="ar-SA"/>
      </w:rPr>
    </w:lvl>
    <w:lvl w:ilvl="5" w:tplc="A7B450FC">
      <w:numFmt w:val="bullet"/>
      <w:lvlText w:val="•"/>
      <w:lvlJc w:val="left"/>
      <w:pPr>
        <w:ind w:left="4842" w:hanging="369"/>
      </w:pPr>
      <w:rPr>
        <w:rFonts w:hint="default"/>
        <w:lang w:val="en-US" w:eastAsia="en-US" w:bidi="ar-SA"/>
      </w:rPr>
    </w:lvl>
    <w:lvl w:ilvl="6" w:tplc="3D0E8E16">
      <w:numFmt w:val="bullet"/>
      <w:lvlText w:val="•"/>
      <w:lvlJc w:val="left"/>
      <w:pPr>
        <w:ind w:left="5772" w:hanging="369"/>
      </w:pPr>
      <w:rPr>
        <w:rFonts w:hint="default"/>
        <w:lang w:val="en-US" w:eastAsia="en-US" w:bidi="ar-SA"/>
      </w:rPr>
    </w:lvl>
    <w:lvl w:ilvl="7" w:tplc="4D7C1FF8">
      <w:numFmt w:val="bullet"/>
      <w:lvlText w:val="•"/>
      <w:lvlJc w:val="left"/>
      <w:pPr>
        <w:ind w:left="6703" w:hanging="369"/>
      </w:pPr>
      <w:rPr>
        <w:rFonts w:hint="default"/>
        <w:lang w:val="en-US" w:eastAsia="en-US" w:bidi="ar-SA"/>
      </w:rPr>
    </w:lvl>
    <w:lvl w:ilvl="8" w:tplc="C7443290">
      <w:numFmt w:val="bullet"/>
      <w:lvlText w:val="•"/>
      <w:lvlJc w:val="left"/>
      <w:pPr>
        <w:ind w:left="7633" w:hanging="369"/>
      </w:pPr>
      <w:rPr>
        <w:rFonts w:hint="default"/>
        <w:lang w:val="en-US" w:eastAsia="en-US" w:bidi="ar-SA"/>
      </w:rPr>
    </w:lvl>
  </w:abstractNum>
  <w:abstractNum w:abstractNumId="16" w15:restartNumberingAfterBreak="0">
    <w:nsid w:val="34B94E39"/>
    <w:multiLevelType w:val="hybridMultilevel"/>
    <w:tmpl w:val="538A299E"/>
    <w:lvl w:ilvl="0" w:tplc="FCB201E4">
      <w:start w:val="37"/>
      <w:numFmt w:val="decimal"/>
      <w:lvlText w:val="%1."/>
      <w:lvlJc w:val="left"/>
      <w:pPr>
        <w:ind w:left="384" w:hanging="369"/>
      </w:pPr>
      <w:rPr>
        <w:rFonts w:ascii="Arial MT" w:eastAsia="Arial MT" w:hAnsi="Arial MT" w:cs="Arial MT" w:hint="default"/>
        <w:b w:val="0"/>
        <w:bCs w:val="0"/>
        <w:i w:val="0"/>
        <w:iCs w:val="0"/>
        <w:spacing w:val="-4"/>
        <w:w w:val="99"/>
        <w:sz w:val="21"/>
        <w:szCs w:val="21"/>
        <w:lang w:val="en-US" w:eastAsia="en-US" w:bidi="ar-SA"/>
      </w:rPr>
    </w:lvl>
    <w:lvl w:ilvl="1" w:tplc="05283ABE">
      <w:numFmt w:val="bullet"/>
      <w:lvlText w:val=""/>
      <w:lvlJc w:val="left"/>
      <w:pPr>
        <w:ind w:left="1105" w:hanging="369"/>
      </w:pPr>
      <w:rPr>
        <w:rFonts w:ascii="Symbol" w:eastAsia="Symbol" w:hAnsi="Symbol" w:cs="Symbol" w:hint="default"/>
        <w:b w:val="0"/>
        <w:bCs w:val="0"/>
        <w:i w:val="0"/>
        <w:iCs w:val="0"/>
        <w:spacing w:val="0"/>
        <w:w w:val="99"/>
        <w:sz w:val="21"/>
        <w:szCs w:val="21"/>
        <w:lang w:val="en-US" w:eastAsia="en-US" w:bidi="ar-SA"/>
      </w:rPr>
    </w:lvl>
    <w:lvl w:ilvl="2" w:tplc="0F48A99A">
      <w:numFmt w:val="bullet"/>
      <w:lvlText w:val="•"/>
      <w:lvlJc w:val="left"/>
      <w:pPr>
        <w:ind w:left="1987" w:hanging="369"/>
      </w:pPr>
      <w:rPr>
        <w:rFonts w:hint="default"/>
        <w:lang w:val="en-US" w:eastAsia="en-US" w:bidi="ar-SA"/>
      </w:rPr>
    </w:lvl>
    <w:lvl w:ilvl="3" w:tplc="FC34E674">
      <w:numFmt w:val="bullet"/>
      <w:lvlText w:val="•"/>
      <w:lvlJc w:val="left"/>
      <w:pPr>
        <w:ind w:left="2874" w:hanging="369"/>
      </w:pPr>
      <w:rPr>
        <w:rFonts w:hint="default"/>
        <w:lang w:val="en-US" w:eastAsia="en-US" w:bidi="ar-SA"/>
      </w:rPr>
    </w:lvl>
    <w:lvl w:ilvl="4" w:tplc="8E6AFD0E">
      <w:numFmt w:val="bullet"/>
      <w:lvlText w:val="•"/>
      <w:lvlJc w:val="left"/>
      <w:pPr>
        <w:ind w:left="3761" w:hanging="369"/>
      </w:pPr>
      <w:rPr>
        <w:rFonts w:hint="default"/>
        <w:lang w:val="en-US" w:eastAsia="en-US" w:bidi="ar-SA"/>
      </w:rPr>
    </w:lvl>
    <w:lvl w:ilvl="5" w:tplc="A5A64EDC">
      <w:numFmt w:val="bullet"/>
      <w:lvlText w:val="•"/>
      <w:lvlJc w:val="left"/>
      <w:pPr>
        <w:ind w:left="4648" w:hanging="369"/>
      </w:pPr>
      <w:rPr>
        <w:rFonts w:hint="default"/>
        <w:lang w:val="en-US" w:eastAsia="en-US" w:bidi="ar-SA"/>
      </w:rPr>
    </w:lvl>
    <w:lvl w:ilvl="6" w:tplc="E0E4396A">
      <w:numFmt w:val="bullet"/>
      <w:lvlText w:val="•"/>
      <w:lvlJc w:val="left"/>
      <w:pPr>
        <w:ind w:left="5535" w:hanging="369"/>
      </w:pPr>
      <w:rPr>
        <w:rFonts w:hint="default"/>
        <w:lang w:val="en-US" w:eastAsia="en-US" w:bidi="ar-SA"/>
      </w:rPr>
    </w:lvl>
    <w:lvl w:ilvl="7" w:tplc="FD424F22">
      <w:numFmt w:val="bullet"/>
      <w:lvlText w:val="•"/>
      <w:lvlJc w:val="left"/>
      <w:pPr>
        <w:ind w:left="6422" w:hanging="369"/>
      </w:pPr>
      <w:rPr>
        <w:rFonts w:hint="default"/>
        <w:lang w:val="en-US" w:eastAsia="en-US" w:bidi="ar-SA"/>
      </w:rPr>
    </w:lvl>
    <w:lvl w:ilvl="8" w:tplc="65AE2D9E">
      <w:numFmt w:val="bullet"/>
      <w:lvlText w:val="•"/>
      <w:lvlJc w:val="left"/>
      <w:pPr>
        <w:ind w:left="7309" w:hanging="369"/>
      </w:pPr>
      <w:rPr>
        <w:rFonts w:hint="default"/>
        <w:lang w:val="en-US" w:eastAsia="en-US" w:bidi="ar-SA"/>
      </w:rPr>
    </w:lvl>
  </w:abstractNum>
  <w:abstractNum w:abstractNumId="17" w15:restartNumberingAfterBreak="0">
    <w:nsid w:val="37155A4B"/>
    <w:multiLevelType w:val="hybridMultilevel"/>
    <w:tmpl w:val="7BE20952"/>
    <w:lvl w:ilvl="0" w:tplc="ED44114C">
      <w:start w:val="1"/>
      <w:numFmt w:val="decimal"/>
      <w:lvlText w:val="%1)"/>
      <w:lvlJc w:val="left"/>
      <w:pPr>
        <w:ind w:left="746" w:hanging="353"/>
      </w:pPr>
      <w:rPr>
        <w:rFonts w:ascii="Arial MT" w:eastAsia="Arial MT" w:hAnsi="Arial MT" w:cs="Arial MT" w:hint="default"/>
        <w:b w:val="0"/>
        <w:bCs w:val="0"/>
        <w:i w:val="0"/>
        <w:iCs w:val="0"/>
        <w:spacing w:val="-4"/>
        <w:w w:val="99"/>
        <w:sz w:val="21"/>
        <w:szCs w:val="21"/>
        <w:lang w:val="en-US" w:eastAsia="en-US" w:bidi="ar-SA"/>
      </w:rPr>
    </w:lvl>
    <w:lvl w:ilvl="1" w:tplc="150CC162">
      <w:numFmt w:val="bullet"/>
      <w:lvlText w:val="•"/>
      <w:lvlJc w:val="left"/>
      <w:pPr>
        <w:ind w:left="1615" w:hanging="353"/>
      </w:pPr>
      <w:rPr>
        <w:rFonts w:hint="default"/>
        <w:lang w:val="en-US" w:eastAsia="en-US" w:bidi="ar-SA"/>
      </w:rPr>
    </w:lvl>
    <w:lvl w:ilvl="2" w:tplc="801AF04C">
      <w:numFmt w:val="bullet"/>
      <w:lvlText w:val="•"/>
      <w:lvlJc w:val="left"/>
      <w:pPr>
        <w:ind w:left="2491" w:hanging="353"/>
      </w:pPr>
      <w:rPr>
        <w:rFonts w:hint="default"/>
        <w:lang w:val="en-US" w:eastAsia="en-US" w:bidi="ar-SA"/>
      </w:rPr>
    </w:lvl>
    <w:lvl w:ilvl="3" w:tplc="50622496">
      <w:numFmt w:val="bullet"/>
      <w:lvlText w:val="•"/>
      <w:lvlJc w:val="left"/>
      <w:pPr>
        <w:ind w:left="3366" w:hanging="353"/>
      </w:pPr>
      <w:rPr>
        <w:rFonts w:hint="default"/>
        <w:lang w:val="en-US" w:eastAsia="en-US" w:bidi="ar-SA"/>
      </w:rPr>
    </w:lvl>
    <w:lvl w:ilvl="4" w:tplc="F2B6BCB6">
      <w:numFmt w:val="bullet"/>
      <w:lvlText w:val="•"/>
      <w:lvlJc w:val="left"/>
      <w:pPr>
        <w:ind w:left="4242" w:hanging="353"/>
      </w:pPr>
      <w:rPr>
        <w:rFonts w:hint="default"/>
        <w:lang w:val="en-US" w:eastAsia="en-US" w:bidi="ar-SA"/>
      </w:rPr>
    </w:lvl>
    <w:lvl w:ilvl="5" w:tplc="144E49B0">
      <w:numFmt w:val="bullet"/>
      <w:lvlText w:val="•"/>
      <w:lvlJc w:val="left"/>
      <w:pPr>
        <w:ind w:left="5117" w:hanging="353"/>
      </w:pPr>
      <w:rPr>
        <w:rFonts w:hint="default"/>
        <w:lang w:val="en-US" w:eastAsia="en-US" w:bidi="ar-SA"/>
      </w:rPr>
    </w:lvl>
    <w:lvl w:ilvl="6" w:tplc="634267EA">
      <w:numFmt w:val="bullet"/>
      <w:lvlText w:val="•"/>
      <w:lvlJc w:val="left"/>
      <w:pPr>
        <w:ind w:left="5993" w:hanging="353"/>
      </w:pPr>
      <w:rPr>
        <w:rFonts w:hint="default"/>
        <w:lang w:val="en-US" w:eastAsia="en-US" w:bidi="ar-SA"/>
      </w:rPr>
    </w:lvl>
    <w:lvl w:ilvl="7" w:tplc="F0244A1A">
      <w:numFmt w:val="bullet"/>
      <w:lvlText w:val="•"/>
      <w:lvlJc w:val="left"/>
      <w:pPr>
        <w:ind w:left="6868" w:hanging="353"/>
      </w:pPr>
      <w:rPr>
        <w:rFonts w:hint="default"/>
        <w:lang w:val="en-US" w:eastAsia="en-US" w:bidi="ar-SA"/>
      </w:rPr>
    </w:lvl>
    <w:lvl w:ilvl="8" w:tplc="18C6A22A">
      <w:numFmt w:val="bullet"/>
      <w:lvlText w:val="•"/>
      <w:lvlJc w:val="left"/>
      <w:pPr>
        <w:ind w:left="7744" w:hanging="353"/>
      </w:pPr>
      <w:rPr>
        <w:rFonts w:hint="default"/>
        <w:lang w:val="en-US" w:eastAsia="en-US" w:bidi="ar-SA"/>
      </w:rPr>
    </w:lvl>
  </w:abstractNum>
  <w:abstractNum w:abstractNumId="18" w15:restartNumberingAfterBreak="0">
    <w:nsid w:val="3AE8243E"/>
    <w:multiLevelType w:val="hybridMultilevel"/>
    <w:tmpl w:val="3D02064E"/>
    <w:lvl w:ilvl="0" w:tplc="28FC96A8">
      <w:start w:val="1"/>
      <w:numFmt w:val="decimal"/>
      <w:lvlText w:val="%1)"/>
      <w:lvlJc w:val="left"/>
      <w:pPr>
        <w:ind w:left="810" w:hanging="353"/>
      </w:pPr>
      <w:rPr>
        <w:rFonts w:hint="default"/>
        <w:spacing w:val="-4"/>
        <w:w w:val="99"/>
        <w:lang w:val="en-US" w:eastAsia="en-US" w:bidi="ar-SA"/>
      </w:rPr>
    </w:lvl>
    <w:lvl w:ilvl="1" w:tplc="1C66E7FE">
      <w:numFmt w:val="bullet"/>
      <w:lvlText w:val="•"/>
      <w:lvlJc w:val="left"/>
      <w:pPr>
        <w:ind w:left="1687" w:hanging="353"/>
      </w:pPr>
      <w:rPr>
        <w:rFonts w:hint="default"/>
        <w:lang w:val="en-US" w:eastAsia="en-US" w:bidi="ar-SA"/>
      </w:rPr>
    </w:lvl>
    <w:lvl w:ilvl="2" w:tplc="8EE091F2">
      <w:numFmt w:val="bullet"/>
      <w:lvlText w:val="•"/>
      <w:lvlJc w:val="left"/>
      <w:pPr>
        <w:ind w:left="2555" w:hanging="353"/>
      </w:pPr>
      <w:rPr>
        <w:rFonts w:hint="default"/>
        <w:lang w:val="en-US" w:eastAsia="en-US" w:bidi="ar-SA"/>
      </w:rPr>
    </w:lvl>
    <w:lvl w:ilvl="3" w:tplc="67EC67CA">
      <w:numFmt w:val="bullet"/>
      <w:lvlText w:val="•"/>
      <w:lvlJc w:val="left"/>
      <w:pPr>
        <w:ind w:left="3422" w:hanging="353"/>
      </w:pPr>
      <w:rPr>
        <w:rFonts w:hint="default"/>
        <w:lang w:val="en-US" w:eastAsia="en-US" w:bidi="ar-SA"/>
      </w:rPr>
    </w:lvl>
    <w:lvl w:ilvl="4" w:tplc="4ACE4A2C">
      <w:numFmt w:val="bullet"/>
      <w:lvlText w:val="•"/>
      <w:lvlJc w:val="left"/>
      <w:pPr>
        <w:ind w:left="4290" w:hanging="353"/>
      </w:pPr>
      <w:rPr>
        <w:rFonts w:hint="default"/>
        <w:lang w:val="en-US" w:eastAsia="en-US" w:bidi="ar-SA"/>
      </w:rPr>
    </w:lvl>
    <w:lvl w:ilvl="5" w:tplc="DED89ED2">
      <w:numFmt w:val="bullet"/>
      <w:lvlText w:val="•"/>
      <w:lvlJc w:val="left"/>
      <w:pPr>
        <w:ind w:left="5157" w:hanging="353"/>
      </w:pPr>
      <w:rPr>
        <w:rFonts w:hint="default"/>
        <w:lang w:val="en-US" w:eastAsia="en-US" w:bidi="ar-SA"/>
      </w:rPr>
    </w:lvl>
    <w:lvl w:ilvl="6" w:tplc="7FD6DBEE">
      <w:numFmt w:val="bullet"/>
      <w:lvlText w:val="•"/>
      <w:lvlJc w:val="left"/>
      <w:pPr>
        <w:ind w:left="6025" w:hanging="353"/>
      </w:pPr>
      <w:rPr>
        <w:rFonts w:hint="default"/>
        <w:lang w:val="en-US" w:eastAsia="en-US" w:bidi="ar-SA"/>
      </w:rPr>
    </w:lvl>
    <w:lvl w:ilvl="7" w:tplc="CC068EA2">
      <w:numFmt w:val="bullet"/>
      <w:lvlText w:val="•"/>
      <w:lvlJc w:val="left"/>
      <w:pPr>
        <w:ind w:left="6892" w:hanging="353"/>
      </w:pPr>
      <w:rPr>
        <w:rFonts w:hint="default"/>
        <w:lang w:val="en-US" w:eastAsia="en-US" w:bidi="ar-SA"/>
      </w:rPr>
    </w:lvl>
    <w:lvl w:ilvl="8" w:tplc="60E6AEE2">
      <w:numFmt w:val="bullet"/>
      <w:lvlText w:val="•"/>
      <w:lvlJc w:val="left"/>
      <w:pPr>
        <w:ind w:left="7760" w:hanging="353"/>
      </w:pPr>
      <w:rPr>
        <w:rFonts w:hint="default"/>
        <w:lang w:val="en-US" w:eastAsia="en-US" w:bidi="ar-SA"/>
      </w:rPr>
    </w:lvl>
  </w:abstractNum>
  <w:abstractNum w:abstractNumId="19" w15:restartNumberingAfterBreak="0">
    <w:nsid w:val="3B8103EA"/>
    <w:multiLevelType w:val="hybridMultilevel"/>
    <w:tmpl w:val="9DF6786E"/>
    <w:lvl w:ilvl="0" w:tplc="A4B09428">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3664E5D8">
      <w:numFmt w:val="bullet"/>
      <w:lvlText w:val="•"/>
      <w:lvlJc w:val="left"/>
      <w:pPr>
        <w:ind w:left="713" w:hanging="369"/>
      </w:pPr>
      <w:rPr>
        <w:rFonts w:hint="default"/>
        <w:lang w:val="en-US" w:eastAsia="en-US" w:bidi="ar-SA"/>
      </w:rPr>
    </w:lvl>
    <w:lvl w:ilvl="2" w:tplc="134A79E4">
      <w:numFmt w:val="bullet"/>
      <w:lvlText w:val="•"/>
      <w:lvlJc w:val="left"/>
      <w:pPr>
        <w:ind w:left="947" w:hanging="369"/>
      </w:pPr>
      <w:rPr>
        <w:rFonts w:hint="default"/>
        <w:lang w:val="en-US" w:eastAsia="en-US" w:bidi="ar-SA"/>
      </w:rPr>
    </w:lvl>
    <w:lvl w:ilvl="3" w:tplc="C644BEA4">
      <w:numFmt w:val="bullet"/>
      <w:lvlText w:val="•"/>
      <w:lvlJc w:val="left"/>
      <w:pPr>
        <w:ind w:left="1180" w:hanging="369"/>
      </w:pPr>
      <w:rPr>
        <w:rFonts w:hint="default"/>
        <w:lang w:val="en-US" w:eastAsia="en-US" w:bidi="ar-SA"/>
      </w:rPr>
    </w:lvl>
    <w:lvl w:ilvl="4" w:tplc="31224A68">
      <w:numFmt w:val="bullet"/>
      <w:lvlText w:val="•"/>
      <w:lvlJc w:val="left"/>
      <w:pPr>
        <w:ind w:left="1414" w:hanging="369"/>
      </w:pPr>
      <w:rPr>
        <w:rFonts w:hint="default"/>
        <w:lang w:val="en-US" w:eastAsia="en-US" w:bidi="ar-SA"/>
      </w:rPr>
    </w:lvl>
    <w:lvl w:ilvl="5" w:tplc="C9F451F4">
      <w:numFmt w:val="bullet"/>
      <w:lvlText w:val="•"/>
      <w:lvlJc w:val="left"/>
      <w:pPr>
        <w:ind w:left="1648" w:hanging="369"/>
      </w:pPr>
      <w:rPr>
        <w:rFonts w:hint="default"/>
        <w:lang w:val="en-US" w:eastAsia="en-US" w:bidi="ar-SA"/>
      </w:rPr>
    </w:lvl>
    <w:lvl w:ilvl="6" w:tplc="6AC810BE">
      <w:numFmt w:val="bullet"/>
      <w:lvlText w:val="•"/>
      <w:lvlJc w:val="left"/>
      <w:pPr>
        <w:ind w:left="1881" w:hanging="369"/>
      </w:pPr>
      <w:rPr>
        <w:rFonts w:hint="default"/>
        <w:lang w:val="en-US" w:eastAsia="en-US" w:bidi="ar-SA"/>
      </w:rPr>
    </w:lvl>
    <w:lvl w:ilvl="7" w:tplc="8DD243BC">
      <w:numFmt w:val="bullet"/>
      <w:lvlText w:val="•"/>
      <w:lvlJc w:val="left"/>
      <w:pPr>
        <w:ind w:left="2115" w:hanging="369"/>
      </w:pPr>
      <w:rPr>
        <w:rFonts w:hint="default"/>
        <w:lang w:val="en-US" w:eastAsia="en-US" w:bidi="ar-SA"/>
      </w:rPr>
    </w:lvl>
    <w:lvl w:ilvl="8" w:tplc="0AF83CBE">
      <w:numFmt w:val="bullet"/>
      <w:lvlText w:val="•"/>
      <w:lvlJc w:val="left"/>
      <w:pPr>
        <w:ind w:left="2348" w:hanging="369"/>
      </w:pPr>
      <w:rPr>
        <w:rFonts w:hint="default"/>
        <w:lang w:val="en-US" w:eastAsia="en-US" w:bidi="ar-SA"/>
      </w:rPr>
    </w:lvl>
  </w:abstractNum>
  <w:abstractNum w:abstractNumId="20" w15:restartNumberingAfterBreak="0">
    <w:nsid w:val="3CD03D57"/>
    <w:multiLevelType w:val="hybridMultilevel"/>
    <w:tmpl w:val="C66CAFDE"/>
    <w:lvl w:ilvl="0" w:tplc="899246B0">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40BCF892">
      <w:numFmt w:val="bullet"/>
      <w:lvlText w:val="•"/>
      <w:lvlJc w:val="left"/>
      <w:pPr>
        <w:ind w:left="728" w:hanging="369"/>
      </w:pPr>
      <w:rPr>
        <w:rFonts w:hint="default"/>
        <w:lang w:val="en-US" w:eastAsia="en-US" w:bidi="ar-SA"/>
      </w:rPr>
    </w:lvl>
    <w:lvl w:ilvl="2" w:tplc="7F0EB260">
      <w:numFmt w:val="bullet"/>
      <w:lvlText w:val="•"/>
      <w:lvlJc w:val="left"/>
      <w:pPr>
        <w:ind w:left="976" w:hanging="369"/>
      </w:pPr>
      <w:rPr>
        <w:rFonts w:hint="default"/>
        <w:lang w:val="en-US" w:eastAsia="en-US" w:bidi="ar-SA"/>
      </w:rPr>
    </w:lvl>
    <w:lvl w:ilvl="3" w:tplc="A99AFDCE">
      <w:numFmt w:val="bullet"/>
      <w:lvlText w:val="•"/>
      <w:lvlJc w:val="left"/>
      <w:pPr>
        <w:ind w:left="1224" w:hanging="369"/>
      </w:pPr>
      <w:rPr>
        <w:rFonts w:hint="default"/>
        <w:lang w:val="en-US" w:eastAsia="en-US" w:bidi="ar-SA"/>
      </w:rPr>
    </w:lvl>
    <w:lvl w:ilvl="4" w:tplc="61069C68">
      <w:numFmt w:val="bullet"/>
      <w:lvlText w:val="•"/>
      <w:lvlJc w:val="left"/>
      <w:pPr>
        <w:ind w:left="1472" w:hanging="369"/>
      </w:pPr>
      <w:rPr>
        <w:rFonts w:hint="default"/>
        <w:lang w:val="en-US" w:eastAsia="en-US" w:bidi="ar-SA"/>
      </w:rPr>
    </w:lvl>
    <w:lvl w:ilvl="5" w:tplc="D258EF70">
      <w:numFmt w:val="bullet"/>
      <w:lvlText w:val="•"/>
      <w:lvlJc w:val="left"/>
      <w:pPr>
        <w:ind w:left="1720" w:hanging="369"/>
      </w:pPr>
      <w:rPr>
        <w:rFonts w:hint="default"/>
        <w:lang w:val="en-US" w:eastAsia="en-US" w:bidi="ar-SA"/>
      </w:rPr>
    </w:lvl>
    <w:lvl w:ilvl="6" w:tplc="45D21BCE">
      <w:numFmt w:val="bullet"/>
      <w:lvlText w:val="•"/>
      <w:lvlJc w:val="left"/>
      <w:pPr>
        <w:ind w:left="1968" w:hanging="369"/>
      </w:pPr>
      <w:rPr>
        <w:rFonts w:hint="default"/>
        <w:lang w:val="en-US" w:eastAsia="en-US" w:bidi="ar-SA"/>
      </w:rPr>
    </w:lvl>
    <w:lvl w:ilvl="7" w:tplc="04A8037E">
      <w:numFmt w:val="bullet"/>
      <w:lvlText w:val="•"/>
      <w:lvlJc w:val="left"/>
      <w:pPr>
        <w:ind w:left="2216" w:hanging="369"/>
      </w:pPr>
      <w:rPr>
        <w:rFonts w:hint="default"/>
        <w:lang w:val="en-US" w:eastAsia="en-US" w:bidi="ar-SA"/>
      </w:rPr>
    </w:lvl>
    <w:lvl w:ilvl="8" w:tplc="43B4E200">
      <w:numFmt w:val="bullet"/>
      <w:lvlText w:val="•"/>
      <w:lvlJc w:val="left"/>
      <w:pPr>
        <w:ind w:left="2464" w:hanging="369"/>
      </w:pPr>
      <w:rPr>
        <w:rFonts w:hint="default"/>
        <w:lang w:val="en-US" w:eastAsia="en-US" w:bidi="ar-SA"/>
      </w:rPr>
    </w:lvl>
  </w:abstractNum>
  <w:abstractNum w:abstractNumId="21" w15:restartNumberingAfterBreak="0">
    <w:nsid w:val="422241BD"/>
    <w:multiLevelType w:val="hybridMultilevel"/>
    <w:tmpl w:val="4C1052EC"/>
    <w:lvl w:ilvl="0" w:tplc="85A6C390">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27183480">
      <w:numFmt w:val="bullet"/>
      <w:lvlText w:val="•"/>
      <w:lvlJc w:val="left"/>
      <w:pPr>
        <w:ind w:left="728" w:hanging="369"/>
      </w:pPr>
      <w:rPr>
        <w:rFonts w:hint="default"/>
        <w:lang w:val="en-US" w:eastAsia="en-US" w:bidi="ar-SA"/>
      </w:rPr>
    </w:lvl>
    <w:lvl w:ilvl="2" w:tplc="6834FEC6">
      <w:numFmt w:val="bullet"/>
      <w:lvlText w:val="•"/>
      <w:lvlJc w:val="left"/>
      <w:pPr>
        <w:ind w:left="976" w:hanging="369"/>
      </w:pPr>
      <w:rPr>
        <w:rFonts w:hint="default"/>
        <w:lang w:val="en-US" w:eastAsia="en-US" w:bidi="ar-SA"/>
      </w:rPr>
    </w:lvl>
    <w:lvl w:ilvl="3" w:tplc="7E7AB114">
      <w:numFmt w:val="bullet"/>
      <w:lvlText w:val="•"/>
      <w:lvlJc w:val="left"/>
      <w:pPr>
        <w:ind w:left="1224" w:hanging="369"/>
      </w:pPr>
      <w:rPr>
        <w:rFonts w:hint="default"/>
        <w:lang w:val="en-US" w:eastAsia="en-US" w:bidi="ar-SA"/>
      </w:rPr>
    </w:lvl>
    <w:lvl w:ilvl="4" w:tplc="DB0AB5E6">
      <w:numFmt w:val="bullet"/>
      <w:lvlText w:val="•"/>
      <w:lvlJc w:val="left"/>
      <w:pPr>
        <w:ind w:left="1472" w:hanging="369"/>
      </w:pPr>
      <w:rPr>
        <w:rFonts w:hint="default"/>
        <w:lang w:val="en-US" w:eastAsia="en-US" w:bidi="ar-SA"/>
      </w:rPr>
    </w:lvl>
    <w:lvl w:ilvl="5" w:tplc="ECDEA86C">
      <w:numFmt w:val="bullet"/>
      <w:lvlText w:val="•"/>
      <w:lvlJc w:val="left"/>
      <w:pPr>
        <w:ind w:left="1720" w:hanging="369"/>
      </w:pPr>
      <w:rPr>
        <w:rFonts w:hint="default"/>
        <w:lang w:val="en-US" w:eastAsia="en-US" w:bidi="ar-SA"/>
      </w:rPr>
    </w:lvl>
    <w:lvl w:ilvl="6" w:tplc="AEA688C2">
      <w:numFmt w:val="bullet"/>
      <w:lvlText w:val="•"/>
      <w:lvlJc w:val="left"/>
      <w:pPr>
        <w:ind w:left="1968" w:hanging="369"/>
      </w:pPr>
      <w:rPr>
        <w:rFonts w:hint="default"/>
        <w:lang w:val="en-US" w:eastAsia="en-US" w:bidi="ar-SA"/>
      </w:rPr>
    </w:lvl>
    <w:lvl w:ilvl="7" w:tplc="F84049FA">
      <w:numFmt w:val="bullet"/>
      <w:lvlText w:val="•"/>
      <w:lvlJc w:val="left"/>
      <w:pPr>
        <w:ind w:left="2216" w:hanging="369"/>
      </w:pPr>
      <w:rPr>
        <w:rFonts w:hint="default"/>
        <w:lang w:val="en-US" w:eastAsia="en-US" w:bidi="ar-SA"/>
      </w:rPr>
    </w:lvl>
    <w:lvl w:ilvl="8" w:tplc="70B0800C">
      <w:numFmt w:val="bullet"/>
      <w:lvlText w:val="•"/>
      <w:lvlJc w:val="left"/>
      <w:pPr>
        <w:ind w:left="2464" w:hanging="369"/>
      </w:pPr>
      <w:rPr>
        <w:rFonts w:hint="default"/>
        <w:lang w:val="en-US" w:eastAsia="en-US" w:bidi="ar-SA"/>
      </w:rPr>
    </w:lvl>
  </w:abstractNum>
  <w:abstractNum w:abstractNumId="22" w15:restartNumberingAfterBreak="0">
    <w:nsid w:val="445F2E24"/>
    <w:multiLevelType w:val="hybridMultilevel"/>
    <w:tmpl w:val="CF7EBD8E"/>
    <w:lvl w:ilvl="0" w:tplc="820459F6">
      <w:numFmt w:val="bullet"/>
      <w:lvlText w:val=""/>
      <w:lvlJc w:val="left"/>
      <w:pPr>
        <w:ind w:left="874" w:hanging="353"/>
      </w:pPr>
      <w:rPr>
        <w:rFonts w:ascii="Wingdings" w:eastAsia="Wingdings" w:hAnsi="Wingdings" w:cs="Wingdings" w:hint="default"/>
        <w:b w:val="0"/>
        <w:bCs w:val="0"/>
        <w:i w:val="0"/>
        <w:iCs w:val="0"/>
        <w:spacing w:val="0"/>
        <w:w w:val="99"/>
        <w:sz w:val="21"/>
        <w:szCs w:val="21"/>
        <w:lang w:val="en-US" w:eastAsia="en-US" w:bidi="ar-SA"/>
      </w:rPr>
    </w:lvl>
    <w:lvl w:ilvl="1" w:tplc="8898B782">
      <w:numFmt w:val="bullet"/>
      <w:lvlText w:val="•"/>
      <w:lvlJc w:val="left"/>
      <w:pPr>
        <w:ind w:left="1741" w:hanging="353"/>
      </w:pPr>
      <w:rPr>
        <w:rFonts w:hint="default"/>
        <w:lang w:val="en-US" w:eastAsia="en-US" w:bidi="ar-SA"/>
      </w:rPr>
    </w:lvl>
    <w:lvl w:ilvl="2" w:tplc="63A89564">
      <w:numFmt w:val="bullet"/>
      <w:lvlText w:val="•"/>
      <w:lvlJc w:val="left"/>
      <w:pPr>
        <w:ind w:left="2603" w:hanging="353"/>
      </w:pPr>
      <w:rPr>
        <w:rFonts w:hint="default"/>
        <w:lang w:val="en-US" w:eastAsia="en-US" w:bidi="ar-SA"/>
      </w:rPr>
    </w:lvl>
    <w:lvl w:ilvl="3" w:tplc="8F56699A">
      <w:numFmt w:val="bullet"/>
      <w:lvlText w:val="•"/>
      <w:lvlJc w:val="left"/>
      <w:pPr>
        <w:ind w:left="3464" w:hanging="353"/>
      </w:pPr>
      <w:rPr>
        <w:rFonts w:hint="default"/>
        <w:lang w:val="en-US" w:eastAsia="en-US" w:bidi="ar-SA"/>
      </w:rPr>
    </w:lvl>
    <w:lvl w:ilvl="4" w:tplc="D54A1FA8">
      <w:numFmt w:val="bullet"/>
      <w:lvlText w:val="•"/>
      <w:lvlJc w:val="left"/>
      <w:pPr>
        <w:ind w:left="4326" w:hanging="353"/>
      </w:pPr>
      <w:rPr>
        <w:rFonts w:hint="default"/>
        <w:lang w:val="en-US" w:eastAsia="en-US" w:bidi="ar-SA"/>
      </w:rPr>
    </w:lvl>
    <w:lvl w:ilvl="5" w:tplc="C908F204">
      <w:numFmt w:val="bullet"/>
      <w:lvlText w:val="•"/>
      <w:lvlJc w:val="left"/>
      <w:pPr>
        <w:ind w:left="5187" w:hanging="353"/>
      </w:pPr>
      <w:rPr>
        <w:rFonts w:hint="default"/>
        <w:lang w:val="en-US" w:eastAsia="en-US" w:bidi="ar-SA"/>
      </w:rPr>
    </w:lvl>
    <w:lvl w:ilvl="6" w:tplc="492CA890">
      <w:numFmt w:val="bullet"/>
      <w:lvlText w:val="•"/>
      <w:lvlJc w:val="left"/>
      <w:pPr>
        <w:ind w:left="6049" w:hanging="353"/>
      </w:pPr>
      <w:rPr>
        <w:rFonts w:hint="default"/>
        <w:lang w:val="en-US" w:eastAsia="en-US" w:bidi="ar-SA"/>
      </w:rPr>
    </w:lvl>
    <w:lvl w:ilvl="7" w:tplc="0986C9F4">
      <w:numFmt w:val="bullet"/>
      <w:lvlText w:val="•"/>
      <w:lvlJc w:val="left"/>
      <w:pPr>
        <w:ind w:left="6910" w:hanging="353"/>
      </w:pPr>
      <w:rPr>
        <w:rFonts w:hint="default"/>
        <w:lang w:val="en-US" w:eastAsia="en-US" w:bidi="ar-SA"/>
      </w:rPr>
    </w:lvl>
    <w:lvl w:ilvl="8" w:tplc="2C44AA2C">
      <w:numFmt w:val="bullet"/>
      <w:lvlText w:val="•"/>
      <w:lvlJc w:val="left"/>
      <w:pPr>
        <w:ind w:left="7772" w:hanging="353"/>
      </w:pPr>
      <w:rPr>
        <w:rFonts w:hint="default"/>
        <w:lang w:val="en-US" w:eastAsia="en-US" w:bidi="ar-SA"/>
      </w:rPr>
    </w:lvl>
  </w:abstractNum>
  <w:abstractNum w:abstractNumId="23" w15:restartNumberingAfterBreak="0">
    <w:nsid w:val="458F361E"/>
    <w:multiLevelType w:val="hybridMultilevel"/>
    <w:tmpl w:val="C5F4AB2E"/>
    <w:lvl w:ilvl="0" w:tplc="91D6382E">
      <w:start w:val="1"/>
      <w:numFmt w:val="decimal"/>
      <w:lvlText w:val="%1)"/>
      <w:lvlJc w:val="left"/>
      <w:pPr>
        <w:ind w:left="746" w:hanging="353"/>
      </w:pPr>
      <w:rPr>
        <w:rFonts w:ascii="Arial MT" w:eastAsia="Arial MT" w:hAnsi="Arial MT" w:cs="Arial MT" w:hint="default"/>
        <w:b w:val="0"/>
        <w:bCs w:val="0"/>
        <w:i w:val="0"/>
        <w:iCs w:val="0"/>
        <w:spacing w:val="-4"/>
        <w:w w:val="99"/>
        <w:sz w:val="21"/>
        <w:szCs w:val="21"/>
        <w:lang w:val="en-US" w:eastAsia="en-US" w:bidi="ar-SA"/>
      </w:rPr>
    </w:lvl>
    <w:lvl w:ilvl="1" w:tplc="8A80EE42">
      <w:numFmt w:val="bullet"/>
      <w:lvlText w:val="•"/>
      <w:lvlJc w:val="left"/>
      <w:pPr>
        <w:ind w:left="1615" w:hanging="353"/>
      </w:pPr>
      <w:rPr>
        <w:rFonts w:hint="default"/>
        <w:lang w:val="en-US" w:eastAsia="en-US" w:bidi="ar-SA"/>
      </w:rPr>
    </w:lvl>
    <w:lvl w:ilvl="2" w:tplc="1B2E04E2">
      <w:numFmt w:val="bullet"/>
      <w:lvlText w:val="•"/>
      <w:lvlJc w:val="left"/>
      <w:pPr>
        <w:ind w:left="2491" w:hanging="353"/>
      </w:pPr>
      <w:rPr>
        <w:rFonts w:hint="default"/>
        <w:lang w:val="en-US" w:eastAsia="en-US" w:bidi="ar-SA"/>
      </w:rPr>
    </w:lvl>
    <w:lvl w:ilvl="3" w:tplc="944A4BD6">
      <w:numFmt w:val="bullet"/>
      <w:lvlText w:val="•"/>
      <w:lvlJc w:val="left"/>
      <w:pPr>
        <w:ind w:left="3366" w:hanging="353"/>
      </w:pPr>
      <w:rPr>
        <w:rFonts w:hint="default"/>
        <w:lang w:val="en-US" w:eastAsia="en-US" w:bidi="ar-SA"/>
      </w:rPr>
    </w:lvl>
    <w:lvl w:ilvl="4" w:tplc="C4267432">
      <w:numFmt w:val="bullet"/>
      <w:lvlText w:val="•"/>
      <w:lvlJc w:val="left"/>
      <w:pPr>
        <w:ind w:left="4242" w:hanging="353"/>
      </w:pPr>
      <w:rPr>
        <w:rFonts w:hint="default"/>
        <w:lang w:val="en-US" w:eastAsia="en-US" w:bidi="ar-SA"/>
      </w:rPr>
    </w:lvl>
    <w:lvl w:ilvl="5" w:tplc="11263A20">
      <w:numFmt w:val="bullet"/>
      <w:lvlText w:val="•"/>
      <w:lvlJc w:val="left"/>
      <w:pPr>
        <w:ind w:left="5117" w:hanging="353"/>
      </w:pPr>
      <w:rPr>
        <w:rFonts w:hint="default"/>
        <w:lang w:val="en-US" w:eastAsia="en-US" w:bidi="ar-SA"/>
      </w:rPr>
    </w:lvl>
    <w:lvl w:ilvl="6" w:tplc="3E34A4F4">
      <w:numFmt w:val="bullet"/>
      <w:lvlText w:val="•"/>
      <w:lvlJc w:val="left"/>
      <w:pPr>
        <w:ind w:left="5993" w:hanging="353"/>
      </w:pPr>
      <w:rPr>
        <w:rFonts w:hint="default"/>
        <w:lang w:val="en-US" w:eastAsia="en-US" w:bidi="ar-SA"/>
      </w:rPr>
    </w:lvl>
    <w:lvl w:ilvl="7" w:tplc="B6F8EF0C">
      <w:numFmt w:val="bullet"/>
      <w:lvlText w:val="•"/>
      <w:lvlJc w:val="left"/>
      <w:pPr>
        <w:ind w:left="6868" w:hanging="353"/>
      </w:pPr>
      <w:rPr>
        <w:rFonts w:hint="default"/>
        <w:lang w:val="en-US" w:eastAsia="en-US" w:bidi="ar-SA"/>
      </w:rPr>
    </w:lvl>
    <w:lvl w:ilvl="8" w:tplc="1E4CC0AE">
      <w:numFmt w:val="bullet"/>
      <w:lvlText w:val="•"/>
      <w:lvlJc w:val="left"/>
      <w:pPr>
        <w:ind w:left="7744" w:hanging="353"/>
      </w:pPr>
      <w:rPr>
        <w:rFonts w:hint="default"/>
        <w:lang w:val="en-US" w:eastAsia="en-US" w:bidi="ar-SA"/>
      </w:rPr>
    </w:lvl>
  </w:abstractNum>
  <w:abstractNum w:abstractNumId="24" w15:restartNumberingAfterBreak="0">
    <w:nsid w:val="496740C4"/>
    <w:multiLevelType w:val="hybridMultilevel"/>
    <w:tmpl w:val="D876B75E"/>
    <w:lvl w:ilvl="0" w:tplc="22F0BBC2">
      <w:numFmt w:val="bullet"/>
      <w:lvlText w:val=""/>
      <w:lvlJc w:val="left"/>
      <w:pPr>
        <w:ind w:left="746" w:hanging="353"/>
      </w:pPr>
      <w:rPr>
        <w:rFonts w:ascii="Symbol" w:eastAsia="Symbol" w:hAnsi="Symbol" w:cs="Symbol" w:hint="default"/>
        <w:b w:val="0"/>
        <w:bCs w:val="0"/>
        <w:i w:val="0"/>
        <w:iCs w:val="0"/>
        <w:spacing w:val="0"/>
        <w:w w:val="99"/>
        <w:sz w:val="21"/>
        <w:szCs w:val="21"/>
        <w:lang w:val="en-US" w:eastAsia="en-US" w:bidi="ar-SA"/>
      </w:rPr>
    </w:lvl>
    <w:lvl w:ilvl="1" w:tplc="B644D972">
      <w:numFmt w:val="bullet"/>
      <w:lvlText w:val="•"/>
      <w:lvlJc w:val="left"/>
      <w:pPr>
        <w:ind w:left="1615" w:hanging="353"/>
      </w:pPr>
      <w:rPr>
        <w:rFonts w:hint="default"/>
        <w:lang w:val="en-US" w:eastAsia="en-US" w:bidi="ar-SA"/>
      </w:rPr>
    </w:lvl>
    <w:lvl w:ilvl="2" w:tplc="7E0291D0">
      <w:numFmt w:val="bullet"/>
      <w:lvlText w:val="•"/>
      <w:lvlJc w:val="left"/>
      <w:pPr>
        <w:ind w:left="2491" w:hanging="353"/>
      </w:pPr>
      <w:rPr>
        <w:rFonts w:hint="default"/>
        <w:lang w:val="en-US" w:eastAsia="en-US" w:bidi="ar-SA"/>
      </w:rPr>
    </w:lvl>
    <w:lvl w:ilvl="3" w:tplc="5A40D8A8">
      <w:numFmt w:val="bullet"/>
      <w:lvlText w:val="•"/>
      <w:lvlJc w:val="left"/>
      <w:pPr>
        <w:ind w:left="3366" w:hanging="353"/>
      </w:pPr>
      <w:rPr>
        <w:rFonts w:hint="default"/>
        <w:lang w:val="en-US" w:eastAsia="en-US" w:bidi="ar-SA"/>
      </w:rPr>
    </w:lvl>
    <w:lvl w:ilvl="4" w:tplc="5F66518E">
      <w:numFmt w:val="bullet"/>
      <w:lvlText w:val="•"/>
      <w:lvlJc w:val="left"/>
      <w:pPr>
        <w:ind w:left="4242" w:hanging="353"/>
      </w:pPr>
      <w:rPr>
        <w:rFonts w:hint="default"/>
        <w:lang w:val="en-US" w:eastAsia="en-US" w:bidi="ar-SA"/>
      </w:rPr>
    </w:lvl>
    <w:lvl w:ilvl="5" w:tplc="18CC9616">
      <w:numFmt w:val="bullet"/>
      <w:lvlText w:val="•"/>
      <w:lvlJc w:val="left"/>
      <w:pPr>
        <w:ind w:left="5117" w:hanging="353"/>
      </w:pPr>
      <w:rPr>
        <w:rFonts w:hint="default"/>
        <w:lang w:val="en-US" w:eastAsia="en-US" w:bidi="ar-SA"/>
      </w:rPr>
    </w:lvl>
    <w:lvl w:ilvl="6" w:tplc="46C69BAA">
      <w:numFmt w:val="bullet"/>
      <w:lvlText w:val="•"/>
      <w:lvlJc w:val="left"/>
      <w:pPr>
        <w:ind w:left="5993" w:hanging="353"/>
      </w:pPr>
      <w:rPr>
        <w:rFonts w:hint="default"/>
        <w:lang w:val="en-US" w:eastAsia="en-US" w:bidi="ar-SA"/>
      </w:rPr>
    </w:lvl>
    <w:lvl w:ilvl="7" w:tplc="5B704128">
      <w:numFmt w:val="bullet"/>
      <w:lvlText w:val="•"/>
      <w:lvlJc w:val="left"/>
      <w:pPr>
        <w:ind w:left="6868" w:hanging="353"/>
      </w:pPr>
      <w:rPr>
        <w:rFonts w:hint="default"/>
        <w:lang w:val="en-US" w:eastAsia="en-US" w:bidi="ar-SA"/>
      </w:rPr>
    </w:lvl>
    <w:lvl w:ilvl="8" w:tplc="FAE25A7A">
      <w:numFmt w:val="bullet"/>
      <w:lvlText w:val="•"/>
      <w:lvlJc w:val="left"/>
      <w:pPr>
        <w:ind w:left="7744" w:hanging="353"/>
      </w:pPr>
      <w:rPr>
        <w:rFonts w:hint="default"/>
        <w:lang w:val="en-US" w:eastAsia="en-US" w:bidi="ar-SA"/>
      </w:rPr>
    </w:lvl>
  </w:abstractNum>
  <w:abstractNum w:abstractNumId="25" w15:restartNumberingAfterBreak="0">
    <w:nsid w:val="496F7CCE"/>
    <w:multiLevelType w:val="hybridMultilevel"/>
    <w:tmpl w:val="906A9D9E"/>
    <w:lvl w:ilvl="0" w:tplc="670CB878">
      <w:start w:val="1"/>
      <w:numFmt w:val="decimal"/>
      <w:lvlText w:val="%1."/>
      <w:lvlJc w:val="left"/>
      <w:pPr>
        <w:ind w:left="393" w:hanging="369"/>
      </w:pPr>
      <w:rPr>
        <w:rFonts w:ascii="Arial MT" w:eastAsia="Arial MT" w:hAnsi="Arial MT" w:cs="Arial MT" w:hint="default"/>
        <w:b w:val="0"/>
        <w:bCs w:val="0"/>
        <w:i w:val="0"/>
        <w:iCs w:val="0"/>
        <w:spacing w:val="-4"/>
        <w:w w:val="99"/>
        <w:sz w:val="21"/>
        <w:szCs w:val="21"/>
        <w:lang w:val="en-US" w:eastAsia="en-US" w:bidi="ar-SA"/>
      </w:rPr>
    </w:lvl>
    <w:lvl w:ilvl="1" w:tplc="8382AF3E">
      <w:numFmt w:val="bullet"/>
      <w:lvlText w:val=""/>
      <w:lvlJc w:val="left"/>
      <w:pPr>
        <w:ind w:left="874" w:hanging="353"/>
      </w:pPr>
      <w:rPr>
        <w:rFonts w:ascii="Symbol" w:eastAsia="Symbol" w:hAnsi="Symbol" w:cs="Symbol" w:hint="default"/>
        <w:b w:val="0"/>
        <w:bCs w:val="0"/>
        <w:i w:val="0"/>
        <w:iCs w:val="0"/>
        <w:spacing w:val="0"/>
        <w:w w:val="99"/>
        <w:sz w:val="21"/>
        <w:szCs w:val="21"/>
        <w:lang w:val="en-US" w:eastAsia="en-US" w:bidi="ar-SA"/>
      </w:rPr>
    </w:lvl>
    <w:lvl w:ilvl="2" w:tplc="5CCA2EE2">
      <w:numFmt w:val="bullet"/>
      <w:lvlText w:val="•"/>
      <w:lvlJc w:val="left"/>
      <w:pPr>
        <w:ind w:left="1120" w:hanging="353"/>
      </w:pPr>
      <w:rPr>
        <w:rFonts w:hint="default"/>
        <w:lang w:val="en-US" w:eastAsia="en-US" w:bidi="ar-SA"/>
      </w:rPr>
    </w:lvl>
    <w:lvl w:ilvl="3" w:tplc="D86EAA4A">
      <w:numFmt w:val="bullet"/>
      <w:lvlText w:val="•"/>
      <w:lvlJc w:val="left"/>
      <w:pPr>
        <w:ind w:left="2166" w:hanging="353"/>
      </w:pPr>
      <w:rPr>
        <w:rFonts w:hint="default"/>
        <w:lang w:val="en-US" w:eastAsia="en-US" w:bidi="ar-SA"/>
      </w:rPr>
    </w:lvl>
    <w:lvl w:ilvl="4" w:tplc="871A7EC2">
      <w:numFmt w:val="bullet"/>
      <w:lvlText w:val="•"/>
      <w:lvlJc w:val="left"/>
      <w:pPr>
        <w:ind w:left="3213" w:hanging="353"/>
      </w:pPr>
      <w:rPr>
        <w:rFonts w:hint="default"/>
        <w:lang w:val="en-US" w:eastAsia="en-US" w:bidi="ar-SA"/>
      </w:rPr>
    </w:lvl>
    <w:lvl w:ilvl="5" w:tplc="577EF6B8">
      <w:numFmt w:val="bullet"/>
      <w:lvlText w:val="•"/>
      <w:lvlJc w:val="left"/>
      <w:pPr>
        <w:ind w:left="4260" w:hanging="353"/>
      </w:pPr>
      <w:rPr>
        <w:rFonts w:hint="default"/>
        <w:lang w:val="en-US" w:eastAsia="en-US" w:bidi="ar-SA"/>
      </w:rPr>
    </w:lvl>
    <w:lvl w:ilvl="6" w:tplc="A3660DFC">
      <w:numFmt w:val="bullet"/>
      <w:lvlText w:val="•"/>
      <w:lvlJc w:val="left"/>
      <w:pPr>
        <w:ind w:left="5307" w:hanging="353"/>
      </w:pPr>
      <w:rPr>
        <w:rFonts w:hint="default"/>
        <w:lang w:val="en-US" w:eastAsia="en-US" w:bidi="ar-SA"/>
      </w:rPr>
    </w:lvl>
    <w:lvl w:ilvl="7" w:tplc="DB749E92">
      <w:numFmt w:val="bullet"/>
      <w:lvlText w:val="•"/>
      <w:lvlJc w:val="left"/>
      <w:pPr>
        <w:ind w:left="6354" w:hanging="353"/>
      </w:pPr>
      <w:rPr>
        <w:rFonts w:hint="default"/>
        <w:lang w:val="en-US" w:eastAsia="en-US" w:bidi="ar-SA"/>
      </w:rPr>
    </w:lvl>
    <w:lvl w:ilvl="8" w:tplc="D7A8C8E2">
      <w:numFmt w:val="bullet"/>
      <w:lvlText w:val="•"/>
      <w:lvlJc w:val="left"/>
      <w:pPr>
        <w:ind w:left="7401" w:hanging="353"/>
      </w:pPr>
      <w:rPr>
        <w:rFonts w:hint="default"/>
        <w:lang w:val="en-US" w:eastAsia="en-US" w:bidi="ar-SA"/>
      </w:rPr>
    </w:lvl>
  </w:abstractNum>
  <w:abstractNum w:abstractNumId="26" w15:restartNumberingAfterBreak="0">
    <w:nsid w:val="49BF7A97"/>
    <w:multiLevelType w:val="hybridMultilevel"/>
    <w:tmpl w:val="7692212E"/>
    <w:lvl w:ilvl="0" w:tplc="6CEE570E">
      <w:numFmt w:val="bullet"/>
      <w:lvlText w:val="■"/>
      <w:lvlJc w:val="left"/>
      <w:pPr>
        <w:ind w:left="521" w:hanging="497"/>
      </w:pPr>
      <w:rPr>
        <w:rFonts w:ascii="Arial MT" w:eastAsia="Arial MT" w:hAnsi="Arial MT" w:cs="Arial MT" w:hint="default"/>
        <w:b w:val="0"/>
        <w:bCs w:val="0"/>
        <w:i w:val="0"/>
        <w:iCs w:val="0"/>
        <w:color w:val="006FC0"/>
        <w:spacing w:val="0"/>
        <w:w w:val="59"/>
        <w:sz w:val="21"/>
        <w:szCs w:val="21"/>
        <w:lang w:val="en-US" w:eastAsia="en-US" w:bidi="ar-SA"/>
      </w:rPr>
    </w:lvl>
    <w:lvl w:ilvl="1" w:tplc="201EAB20">
      <w:numFmt w:val="bullet"/>
      <w:lvlText w:val="•"/>
      <w:lvlJc w:val="left"/>
      <w:pPr>
        <w:ind w:left="1417" w:hanging="497"/>
      </w:pPr>
      <w:rPr>
        <w:rFonts w:hint="default"/>
        <w:lang w:val="en-US" w:eastAsia="en-US" w:bidi="ar-SA"/>
      </w:rPr>
    </w:lvl>
    <w:lvl w:ilvl="2" w:tplc="6DCED4CA">
      <w:numFmt w:val="bullet"/>
      <w:lvlText w:val="•"/>
      <w:lvlJc w:val="left"/>
      <w:pPr>
        <w:ind w:left="2315" w:hanging="497"/>
      </w:pPr>
      <w:rPr>
        <w:rFonts w:hint="default"/>
        <w:lang w:val="en-US" w:eastAsia="en-US" w:bidi="ar-SA"/>
      </w:rPr>
    </w:lvl>
    <w:lvl w:ilvl="3" w:tplc="0172AD78">
      <w:numFmt w:val="bullet"/>
      <w:lvlText w:val="•"/>
      <w:lvlJc w:val="left"/>
      <w:pPr>
        <w:ind w:left="3212" w:hanging="497"/>
      </w:pPr>
      <w:rPr>
        <w:rFonts w:hint="default"/>
        <w:lang w:val="en-US" w:eastAsia="en-US" w:bidi="ar-SA"/>
      </w:rPr>
    </w:lvl>
    <w:lvl w:ilvl="4" w:tplc="5322D1AE">
      <w:numFmt w:val="bullet"/>
      <w:lvlText w:val="•"/>
      <w:lvlJc w:val="left"/>
      <w:pPr>
        <w:ind w:left="4110" w:hanging="497"/>
      </w:pPr>
      <w:rPr>
        <w:rFonts w:hint="default"/>
        <w:lang w:val="en-US" w:eastAsia="en-US" w:bidi="ar-SA"/>
      </w:rPr>
    </w:lvl>
    <w:lvl w:ilvl="5" w:tplc="987428E0">
      <w:numFmt w:val="bullet"/>
      <w:lvlText w:val="•"/>
      <w:lvlJc w:val="left"/>
      <w:pPr>
        <w:ind w:left="5007" w:hanging="497"/>
      </w:pPr>
      <w:rPr>
        <w:rFonts w:hint="default"/>
        <w:lang w:val="en-US" w:eastAsia="en-US" w:bidi="ar-SA"/>
      </w:rPr>
    </w:lvl>
    <w:lvl w:ilvl="6" w:tplc="95BAA906">
      <w:numFmt w:val="bullet"/>
      <w:lvlText w:val="•"/>
      <w:lvlJc w:val="left"/>
      <w:pPr>
        <w:ind w:left="5905" w:hanging="497"/>
      </w:pPr>
      <w:rPr>
        <w:rFonts w:hint="default"/>
        <w:lang w:val="en-US" w:eastAsia="en-US" w:bidi="ar-SA"/>
      </w:rPr>
    </w:lvl>
    <w:lvl w:ilvl="7" w:tplc="C598F2A2">
      <w:numFmt w:val="bullet"/>
      <w:lvlText w:val="•"/>
      <w:lvlJc w:val="left"/>
      <w:pPr>
        <w:ind w:left="6802" w:hanging="497"/>
      </w:pPr>
      <w:rPr>
        <w:rFonts w:hint="default"/>
        <w:lang w:val="en-US" w:eastAsia="en-US" w:bidi="ar-SA"/>
      </w:rPr>
    </w:lvl>
    <w:lvl w:ilvl="8" w:tplc="B3E872AE">
      <w:numFmt w:val="bullet"/>
      <w:lvlText w:val="•"/>
      <w:lvlJc w:val="left"/>
      <w:pPr>
        <w:ind w:left="7700" w:hanging="497"/>
      </w:pPr>
      <w:rPr>
        <w:rFonts w:hint="default"/>
        <w:lang w:val="en-US" w:eastAsia="en-US" w:bidi="ar-SA"/>
      </w:rPr>
    </w:lvl>
  </w:abstractNum>
  <w:abstractNum w:abstractNumId="27" w15:restartNumberingAfterBreak="0">
    <w:nsid w:val="4B9F6053"/>
    <w:multiLevelType w:val="hybridMultilevel"/>
    <w:tmpl w:val="46ACC9DA"/>
    <w:lvl w:ilvl="0" w:tplc="5C98AF7E">
      <w:start w:val="1"/>
      <w:numFmt w:val="lowerLetter"/>
      <w:lvlText w:val="(%1)"/>
      <w:lvlJc w:val="left"/>
      <w:pPr>
        <w:ind w:left="25" w:hanging="288"/>
      </w:pPr>
      <w:rPr>
        <w:rFonts w:ascii="Arial" w:eastAsia="Arial" w:hAnsi="Arial" w:cs="Arial" w:hint="default"/>
        <w:b w:val="0"/>
        <w:bCs w:val="0"/>
        <w:i/>
        <w:iCs/>
        <w:spacing w:val="-2"/>
        <w:w w:val="103"/>
        <w:sz w:val="17"/>
        <w:szCs w:val="17"/>
        <w:lang w:val="en-US" w:eastAsia="en-US" w:bidi="ar-SA"/>
      </w:rPr>
    </w:lvl>
    <w:lvl w:ilvl="1" w:tplc="155E2CB8">
      <w:numFmt w:val="bullet"/>
      <w:lvlText w:val="•"/>
      <w:lvlJc w:val="left"/>
      <w:pPr>
        <w:ind w:left="967" w:hanging="288"/>
      </w:pPr>
      <w:rPr>
        <w:rFonts w:hint="default"/>
        <w:lang w:val="en-US" w:eastAsia="en-US" w:bidi="ar-SA"/>
      </w:rPr>
    </w:lvl>
    <w:lvl w:ilvl="2" w:tplc="D97E5966">
      <w:numFmt w:val="bullet"/>
      <w:lvlText w:val="•"/>
      <w:lvlJc w:val="left"/>
      <w:pPr>
        <w:ind w:left="1915" w:hanging="288"/>
      </w:pPr>
      <w:rPr>
        <w:rFonts w:hint="default"/>
        <w:lang w:val="en-US" w:eastAsia="en-US" w:bidi="ar-SA"/>
      </w:rPr>
    </w:lvl>
    <w:lvl w:ilvl="3" w:tplc="083C4D0C">
      <w:numFmt w:val="bullet"/>
      <w:lvlText w:val="•"/>
      <w:lvlJc w:val="left"/>
      <w:pPr>
        <w:ind w:left="2862" w:hanging="288"/>
      </w:pPr>
      <w:rPr>
        <w:rFonts w:hint="default"/>
        <w:lang w:val="en-US" w:eastAsia="en-US" w:bidi="ar-SA"/>
      </w:rPr>
    </w:lvl>
    <w:lvl w:ilvl="4" w:tplc="238AC93C">
      <w:numFmt w:val="bullet"/>
      <w:lvlText w:val="•"/>
      <w:lvlJc w:val="left"/>
      <w:pPr>
        <w:ind w:left="3810" w:hanging="288"/>
      </w:pPr>
      <w:rPr>
        <w:rFonts w:hint="default"/>
        <w:lang w:val="en-US" w:eastAsia="en-US" w:bidi="ar-SA"/>
      </w:rPr>
    </w:lvl>
    <w:lvl w:ilvl="5" w:tplc="A9D27622">
      <w:numFmt w:val="bullet"/>
      <w:lvlText w:val="•"/>
      <w:lvlJc w:val="left"/>
      <w:pPr>
        <w:ind w:left="4757" w:hanging="288"/>
      </w:pPr>
      <w:rPr>
        <w:rFonts w:hint="default"/>
        <w:lang w:val="en-US" w:eastAsia="en-US" w:bidi="ar-SA"/>
      </w:rPr>
    </w:lvl>
    <w:lvl w:ilvl="6" w:tplc="6E10D780">
      <w:numFmt w:val="bullet"/>
      <w:lvlText w:val="•"/>
      <w:lvlJc w:val="left"/>
      <w:pPr>
        <w:ind w:left="5705" w:hanging="288"/>
      </w:pPr>
      <w:rPr>
        <w:rFonts w:hint="default"/>
        <w:lang w:val="en-US" w:eastAsia="en-US" w:bidi="ar-SA"/>
      </w:rPr>
    </w:lvl>
    <w:lvl w:ilvl="7" w:tplc="C3C85388">
      <w:numFmt w:val="bullet"/>
      <w:lvlText w:val="•"/>
      <w:lvlJc w:val="left"/>
      <w:pPr>
        <w:ind w:left="6652" w:hanging="288"/>
      </w:pPr>
      <w:rPr>
        <w:rFonts w:hint="default"/>
        <w:lang w:val="en-US" w:eastAsia="en-US" w:bidi="ar-SA"/>
      </w:rPr>
    </w:lvl>
    <w:lvl w:ilvl="8" w:tplc="ECB8E7E4">
      <w:numFmt w:val="bullet"/>
      <w:lvlText w:val="•"/>
      <w:lvlJc w:val="left"/>
      <w:pPr>
        <w:ind w:left="7600" w:hanging="288"/>
      </w:pPr>
      <w:rPr>
        <w:rFonts w:hint="default"/>
        <w:lang w:val="en-US" w:eastAsia="en-US" w:bidi="ar-SA"/>
      </w:rPr>
    </w:lvl>
  </w:abstractNum>
  <w:abstractNum w:abstractNumId="28" w15:restartNumberingAfterBreak="0">
    <w:nsid w:val="52246476"/>
    <w:multiLevelType w:val="hybridMultilevel"/>
    <w:tmpl w:val="94D2AFE2"/>
    <w:lvl w:ilvl="0" w:tplc="120E14A4">
      <w:start w:val="38"/>
      <w:numFmt w:val="decimal"/>
      <w:lvlText w:val="%1."/>
      <w:lvlJc w:val="left"/>
      <w:pPr>
        <w:ind w:left="384" w:hanging="369"/>
      </w:pPr>
      <w:rPr>
        <w:rFonts w:ascii="Arial MT" w:eastAsia="Arial MT" w:hAnsi="Arial MT" w:cs="Arial MT" w:hint="default"/>
        <w:b w:val="0"/>
        <w:bCs w:val="0"/>
        <w:i w:val="0"/>
        <w:iCs w:val="0"/>
        <w:spacing w:val="-4"/>
        <w:w w:val="99"/>
        <w:sz w:val="21"/>
        <w:szCs w:val="21"/>
        <w:lang w:val="en-US" w:eastAsia="en-US" w:bidi="ar-SA"/>
      </w:rPr>
    </w:lvl>
    <w:lvl w:ilvl="1" w:tplc="4DECD71C">
      <w:numFmt w:val="bullet"/>
      <w:lvlText w:val="•"/>
      <w:lvlJc w:val="left"/>
      <w:pPr>
        <w:ind w:left="1250" w:hanging="369"/>
      </w:pPr>
      <w:rPr>
        <w:rFonts w:hint="default"/>
        <w:lang w:val="en-US" w:eastAsia="en-US" w:bidi="ar-SA"/>
      </w:rPr>
    </w:lvl>
    <w:lvl w:ilvl="2" w:tplc="0FDA90BE">
      <w:numFmt w:val="bullet"/>
      <w:lvlText w:val="•"/>
      <w:lvlJc w:val="left"/>
      <w:pPr>
        <w:ind w:left="2120" w:hanging="369"/>
      </w:pPr>
      <w:rPr>
        <w:rFonts w:hint="default"/>
        <w:lang w:val="en-US" w:eastAsia="en-US" w:bidi="ar-SA"/>
      </w:rPr>
    </w:lvl>
    <w:lvl w:ilvl="3" w:tplc="5AB2BD34">
      <w:numFmt w:val="bullet"/>
      <w:lvlText w:val="•"/>
      <w:lvlJc w:val="left"/>
      <w:pPr>
        <w:ind w:left="2991" w:hanging="369"/>
      </w:pPr>
      <w:rPr>
        <w:rFonts w:hint="default"/>
        <w:lang w:val="en-US" w:eastAsia="en-US" w:bidi="ar-SA"/>
      </w:rPr>
    </w:lvl>
    <w:lvl w:ilvl="4" w:tplc="F1E0A0BA">
      <w:numFmt w:val="bullet"/>
      <w:lvlText w:val="•"/>
      <w:lvlJc w:val="left"/>
      <w:pPr>
        <w:ind w:left="3861" w:hanging="369"/>
      </w:pPr>
      <w:rPr>
        <w:rFonts w:hint="default"/>
        <w:lang w:val="en-US" w:eastAsia="en-US" w:bidi="ar-SA"/>
      </w:rPr>
    </w:lvl>
    <w:lvl w:ilvl="5" w:tplc="A046204E">
      <w:numFmt w:val="bullet"/>
      <w:lvlText w:val="•"/>
      <w:lvlJc w:val="left"/>
      <w:pPr>
        <w:ind w:left="4732" w:hanging="369"/>
      </w:pPr>
      <w:rPr>
        <w:rFonts w:hint="default"/>
        <w:lang w:val="en-US" w:eastAsia="en-US" w:bidi="ar-SA"/>
      </w:rPr>
    </w:lvl>
    <w:lvl w:ilvl="6" w:tplc="BA922C40">
      <w:numFmt w:val="bullet"/>
      <w:lvlText w:val="•"/>
      <w:lvlJc w:val="left"/>
      <w:pPr>
        <w:ind w:left="5602" w:hanging="369"/>
      </w:pPr>
      <w:rPr>
        <w:rFonts w:hint="default"/>
        <w:lang w:val="en-US" w:eastAsia="en-US" w:bidi="ar-SA"/>
      </w:rPr>
    </w:lvl>
    <w:lvl w:ilvl="7" w:tplc="0A4ECB6C">
      <w:numFmt w:val="bullet"/>
      <w:lvlText w:val="•"/>
      <w:lvlJc w:val="left"/>
      <w:pPr>
        <w:ind w:left="6472" w:hanging="369"/>
      </w:pPr>
      <w:rPr>
        <w:rFonts w:hint="default"/>
        <w:lang w:val="en-US" w:eastAsia="en-US" w:bidi="ar-SA"/>
      </w:rPr>
    </w:lvl>
    <w:lvl w:ilvl="8" w:tplc="A54849BC">
      <w:numFmt w:val="bullet"/>
      <w:lvlText w:val="•"/>
      <w:lvlJc w:val="left"/>
      <w:pPr>
        <w:ind w:left="7343" w:hanging="369"/>
      </w:pPr>
      <w:rPr>
        <w:rFonts w:hint="default"/>
        <w:lang w:val="en-US" w:eastAsia="en-US" w:bidi="ar-SA"/>
      </w:rPr>
    </w:lvl>
  </w:abstractNum>
  <w:abstractNum w:abstractNumId="29" w15:restartNumberingAfterBreak="0">
    <w:nsid w:val="542D0507"/>
    <w:multiLevelType w:val="hybridMultilevel"/>
    <w:tmpl w:val="0CCEBF1C"/>
    <w:lvl w:ilvl="0" w:tplc="31C01572">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1D2C85E4">
      <w:numFmt w:val="bullet"/>
      <w:lvlText w:val="•"/>
      <w:lvlJc w:val="left"/>
      <w:pPr>
        <w:ind w:left="753" w:hanging="369"/>
      </w:pPr>
      <w:rPr>
        <w:rFonts w:hint="default"/>
        <w:lang w:val="en-US" w:eastAsia="en-US" w:bidi="ar-SA"/>
      </w:rPr>
    </w:lvl>
    <w:lvl w:ilvl="2" w:tplc="201ACA9E">
      <w:numFmt w:val="bullet"/>
      <w:lvlText w:val="•"/>
      <w:lvlJc w:val="left"/>
      <w:pPr>
        <w:ind w:left="1027" w:hanging="369"/>
      </w:pPr>
      <w:rPr>
        <w:rFonts w:hint="default"/>
        <w:lang w:val="en-US" w:eastAsia="en-US" w:bidi="ar-SA"/>
      </w:rPr>
    </w:lvl>
    <w:lvl w:ilvl="3" w:tplc="B1E2AC5C">
      <w:numFmt w:val="bullet"/>
      <w:lvlText w:val="•"/>
      <w:lvlJc w:val="left"/>
      <w:pPr>
        <w:ind w:left="1300" w:hanging="369"/>
      </w:pPr>
      <w:rPr>
        <w:rFonts w:hint="default"/>
        <w:lang w:val="en-US" w:eastAsia="en-US" w:bidi="ar-SA"/>
      </w:rPr>
    </w:lvl>
    <w:lvl w:ilvl="4" w:tplc="CD26E372">
      <w:numFmt w:val="bullet"/>
      <w:lvlText w:val="•"/>
      <w:lvlJc w:val="left"/>
      <w:pPr>
        <w:ind w:left="1574" w:hanging="369"/>
      </w:pPr>
      <w:rPr>
        <w:rFonts w:hint="default"/>
        <w:lang w:val="en-US" w:eastAsia="en-US" w:bidi="ar-SA"/>
      </w:rPr>
    </w:lvl>
    <w:lvl w:ilvl="5" w:tplc="17128164">
      <w:numFmt w:val="bullet"/>
      <w:lvlText w:val="•"/>
      <w:lvlJc w:val="left"/>
      <w:pPr>
        <w:ind w:left="1848" w:hanging="369"/>
      </w:pPr>
      <w:rPr>
        <w:rFonts w:hint="default"/>
        <w:lang w:val="en-US" w:eastAsia="en-US" w:bidi="ar-SA"/>
      </w:rPr>
    </w:lvl>
    <w:lvl w:ilvl="6" w:tplc="67C2F576">
      <w:numFmt w:val="bullet"/>
      <w:lvlText w:val="•"/>
      <w:lvlJc w:val="left"/>
      <w:pPr>
        <w:ind w:left="2121" w:hanging="369"/>
      </w:pPr>
      <w:rPr>
        <w:rFonts w:hint="default"/>
        <w:lang w:val="en-US" w:eastAsia="en-US" w:bidi="ar-SA"/>
      </w:rPr>
    </w:lvl>
    <w:lvl w:ilvl="7" w:tplc="3E662FBC">
      <w:numFmt w:val="bullet"/>
      <w:lvlText w:val="•"/>
      <w:lvlJc w:val="left"/>
      <w:pPr>
        <w:ind w:left="2395" w:hanging="369"/>
      </w:pPr>
      <w:rPr>
        <w:rFonts w:hint="default"/>
        <w:lang w:val="en-US" w:eastAsia="en-US" w:bidi="ar-SA"/>
      </w:rPr>
    </w:lvl>
    <w:lvl w:ilvl="8" w:tplc="C144E24A">
      <w:numFmt w:val="bullet"/>
      <w:lvlText w:val="•"/>
      <w:lvlJc w:val="left"/>
      <w:pPr>
        <w:ind w:left="2668" w:hanging="369"/>
      </w:pPr>
      <w:rPr>
        <w:rFonts w:hint="default"/>
        <w:lang w:val="en-US" w:eastAsia="en-US" w:bidi="ar-SA"/>
      </w:rPr>
    </w:lvl>
  </w:abstractNum>
  <w:abstractNum w:abstractNumId="30" w15:restartNumberingAfterBreak="0">
    <w:nsid w:val="58200381"/>
    <w:multiLevelType w:val="multilevel"/>
    <w:tmpl w:val="3C528FA2"/>
    <w:lvl w:ilvl="0">
      <w:start w:val="1"/>
      <w:numFmt w:val="decimal"/>
      <w:lvlText w:val="%1."/>
      <w:lvlJc w:val="left"/>
      <w:pPr>
        <w:ind w:left="425" w:hanging="401"/>
      </w:pPr>
      <w:rPr>
        <w:rFonts w:ascii="Arial MT" w:eastAsia="Arial MT" w:hAnsi="Arial MT" w:cs="Arial MT" w:hint="default"/>
        <w:b w:val="0"/>
        <w:bCs w:val="0"/>
        <w:i w:val="0"/>
        <w:iCs w:val="0"/>
        <w:spacing w:val="-4"/>
        <w:w w:val="99"/>
        <w:sz w:val="21"/>
        <w:szCs w:val="21"/>
        <w:lang w:val="en-US" w:eastAsia="en-US" w:bidi="ar-SA"/>
      </w:rPr>
    </w:lvl>
    <w:lvl w:ilvl="1">
      <w:start w:val="1"/>
      <w:numFmt w:val="decimal"/>
      <w:lvlText w:val="%1.%2"/>
      <w:lvlJc w:val="left"/>
      <w:pPr>
        <w:ind w:left="746" w:hanging="513"/>
      </w:pPr>
      <w:rPr>
        <w:rFonts w:ascii="Arial MT" w:eastAsia="Arial MT" w:hAnsi="Arial MT" w:cs="Arial MT" w:hint="default"/>
        <w:b w:val="0"/>
        <w:bCs w:val="0"/>
        <w:i w:val="0"/>
        <w:iCs w:val="0"/>
        <w:spacing w:val="-2"/>
        <w:w w:val="103"/>
        <w:sz w:val="17"/>
        <w:szCs w:val="17"/>
        <w:lang w:val="en-US" w:eastAsia="en-US" w:bidi="ar-SA"/>
      </w:rPr>
    </w:lvl>
    <w:lvl w:ilvl="2">
      <w:start w:val="1"/>
      <w:numFmt w:val="decimal"/>
      <w:lvlText w:val="%1.%2.%3"/>
      <w:lvlJc w:val="left"/>
      <w:pPr>
        <w:ind w:left="1130" w:hanging="705"/>
      </w:pPr>
      <w:rPr>
        <w:rFonts w:ascii="Arial MT" w:eastAsia="Arial MT" w:hAnsi="Arial MT" w:cs="Arial MT" w:hint="default"/>
        <w:b w:val="0"/>
        <w:bCs w:val="0"/>
        <w:i w:val="0"/>
        <w:iCs w:val="0"/>
        <w:spacing w:val="-4"/>
        <w:w w:val="99"/>
        <w:sz w:val="21"/>
        <w:szCs w:val="21"/>
        <w:lang w:val="en-US" w:eastAsia="en-US" w:bidi="ar-SA"/>
      </w:rPr>
    </w:lvl>
    <w:lvl w:ilvl="3">
      <w:numFmt w:val="bullet"/>
      <w:lvlText w:val="•"/>
      <w:lvlJc w:val="left"/>
      <w:pPr>
        <w:ind w:left="1140" w:hanging="705"/>
      </w:pPr>
      <w:rPr>
        <w:rFonts w:hint="default"/>
        <w:lang w:val="en-US" w:eastAsia="en-US" w:bidi="ar-SA"/>
      </w:rPr>
    </w:lvl>
    <w:lvl w:ilvl="4">
      <w:numFmt w:val="bullet"/>
      <w:lvlText w:val="•"/>
      <w:lvlJc w:val="left"/>
      <w:pPr>
        <w:ind w:left="2333" w:hanging="705"/>
      </w:pPr>
      <w:rPr>
        <w:rFonts w:hint="default"/>
        <w:lang w:val="en-US" w:eastAsia="en-US" w:bidi="ar-SA"/>
      </w:rPr>
    </w:lvl>
    <w:lvl w:ilvl="5">
      <w:numFmt w:val="bullet"/>
      <w:lvlText w:val="•"/>
      <w:lvlJc w:val="left"/>
      <w:pPr>
        <w:ind w:left="3527" w:hanging="705"/>
      </w:pPr>
      <w:rPr>
        <w:rFonts w:hint="default"/>
        <w:lang w:val="en-US" w:eastAsia="en-US" w:bidi="ar-SA"/>
      </w:rPr>
    </w:lvl>
    <w:lvl w:ilvl="6">
      <w:numFmt w:val="bullet"/>
      <w:lvlText w:val="•"/>
      <w:lvlJc w:val="left"/>
      <w:pPr>
        <w:ind w:left="4720" w:hanging="705"/>
      </w:pPr>
      <w:rPr>
        <w:rFonts w:hint="default"/>
        <w:lang w:val="en-US" w:eastAsia="en-US" w:bidi="ar-SA"/>
      </w:rPr>
    </w:lvl>
    <w:lvl w:ilvl="7">
      <w:numFmt w:val="bullet"/>
      <w:lvlText w:val="•"/>
      <w:lvlJc w:val="left"/>
      <w:pPr>
        <w:ind w:left="5914" w:hanging="705"/>
      </w:pPr>
      <w:rPr>
        <w:rFonts w:hint="default"/>
        <w:lang w:val="en-US" w:eastAsia="en-US" w:bidi="ar-SA"/>
      </w:rPr>
    </w:lvl>
    <w:lvl w:ilvl="8">
      <w:numFmt w:val="bullet"/>
      <w:lvlText w:val="•"/>
      <w:lvlJc w:val="left"/>
      <w:pPr>
        <w:ind w:left="7107" w:hanging="705"/>
      </w:pPr>
      <w:rPr>
        <w:rFonts w:hint="default"/>
        <w:lang w:val="en-US" w:eastAsia="en-US" w:bidi="ar-SA"/>
      </w:rPr>
    </w:lvl>
  </w:abstractNum>
  <w:abstractNum w:abstractNumId="31" w15:restartNumberingAfterBreak="0">
    <w:nsid w:val="58CC422E"/>
    <w:multiLevelType w:val="hybridMultilevel"/>
    <w:tmpl w:val="332EB5E2"/>
    <w:lvl w:ilvl="0" w:tplc="18721818">
      <w:start w:val="148"/>
      <w:numFmt w:val="decimal"/>
      <w:lvlText w:val="%1."/>
      <w:lvlJc w:val="left"/>
      <w:pPr>
        <w:ind w:left="393" w:hanging="721"/>
      </w:pPr>
      <w:rPr>
        <w:rFonts w:ascii="Arial MT" w:eastAsia="Arial MT" w:hAnsi="Arial MT" w:cs="Arial MT" w:hint="default"/>
        <w:b w:val="0"/>
        <w:bCs w:val="0"/>
        <w:i w:val="0"/>
        <w:iCs w:val="0"/>
        <w:spacing w:val="-4"/>
        <w:w w:val="99"/>
        <w:sz w:val="21"/>
        <w:szCs w:val="21"/>
        <w:lang w:val="en-US" w:eastAsia="en-US" w:bidi="ar-SA"/>
      </w:rPr>
    </w:lvl>
    <w:lvl w:ilvl="1" w:tplc="A4386298">
      <w:numFmt w:val="bullet"/>
      <w:lvlText w:val=""/>
      <w:lvlJc w:val="left"/>
      <w:pPr>
        <w:ind w:left="874" w:hanging="353"/>
      </w:pPr>
      <w:rPr>
        <w:rFonts w:ascii="Wingdings" w:eastAsia="Wingdings" w:hAnsi="Wingdings" w:cs="Wingdings" w:hint="default"/>
        <w:b w:val="0"/>
        <w:bCs w:val="0"/>
        <w:i w:val="0"/>
        <w:iCs w:val="0"/>
        <w:spacing w:val="0"/>
        <w:w w:val="99"/>
        <w:sz w:val="21"/>
        <w:szCs w:val="21"/>
        <w:lang w:val="en-US" w:eastAsia="en-US" w:bidi="ar-SA"/>
      </w:rPr>
    </w:lvl>
    <w:lvl w:ilvl="2" w:tplc="EF1A5798">
      <w:numFmt w:val="bullet"/>
      <w:lvlText w:val="•"/>
      <w:lvlJc w:val="left"/>
      <w:pPr>
        <w:ind w:left="1837" w:hanging="353"/>
      </w:pPr>
      <w:rPr>
        <w:rFonts w:hint="default"/>
        <w:lang w:val="en-US" w:eastAsia="en-US" w:bidi="ar-SA"/>
      </w:rPr>
    </w:lvl>
    <w:lvl w:ilvl="3" w:tplc="FF388F2C">
      <w:numFmt w:val="bullet"/>
      <w:lvlText w:val="•"/>
      <w:lvlJc w:val="left"/>
      <w:pPr>
        <w:ind w:left="2794" w:hanging="353"/>
      </w:pPr>
      <w:rPr>
        <w:rFonts w:hint="default"/>
        <w:lang w:val="en-US" w:eastAsia="en-US" w:bidi="ar-SA"/>
      </w:rPr>
    </w:lvl>
    <w:lvl w:ilvl="4" w:tplc="F60499C6">
      <w:numFmt w:val="bullet"/>
      <w:lvlText w:val="•"/>
      <w:lvlJc w:val="left"/>
      <w:pPr>
        <w:ind w:left="3751" w:hanging="353"/>
      </w:pPr>
      <w:rPr>
        <w:rFonts w:hint="default"/>
        <w:lang w:val="en-US" w:eastAsia="en-US" w:bidi="ar-SA"/>
      </w:rPr>
    </w:lvl>
    <w:lvl w:ilvl="5" w:tplc="C85AC7E0">
      <w:numFmt w:val="bullet"/>
      <w:lvlText w:val="•"/>
      <w:lvlJc w:val="left"/>
      <w:pPr>
        <w:ind w:left="4708" w:hanging="353"/>
      </w:pPr>
      <w:rPr>
        <w:rFonts w:hint="default"/>
        <w:lang w:val="en-US" w:eastAsia="en-US" w:bidi="ar-SA"/>
      </w:rPr>
    </w:lvl>
    <w:lvl w:ilvl="6" w:tplc="74320D6E">
      <w:numFmt w:val="bullet"/>
      <w:lvlText w:val="•"/>
      <w:lvlJc w:val="left"/>
      <w:pPr>
        <w:ind w:left="5666" w:hanging="353"/>
      </w:pPr>
      <w:rPr>
        <w:rFonts w:hint="default"/>
        <w:lang w:val="en-US" w:eastAsia="en-US" w:bidi="ar-SA"/>
      </w:rPr>
    </w:lvl>
    <w:lvl w:ilvl="7" w:tplc="8B1643C8">
      <w:numFmt w:val="bullet"/>
      <w:lvlText w:val="•"/>
      <w:lvlJc w:val="left"/>
      <w:pPr>
        <w:ind w:left="6623" w:hanging="353"/>
      </w:pPr>
      <w:rPr>
        <w:rFonts w:hint="default"/>
        <w:lang w:val="en-US" w:eastAsia="en-US" w:bidi="ar-SA"/>
      </w:rPr>
    </w:lvl>
    <w:lvl w:ilvl="8" w:tplc="BFE42A46">
      <w:numFmt w:val="bullet"/>
      <w:lvlText w:val="•"/>
      <w:lvlJc w:val="left"/>
      <w:pPr>
        <w:ind w:left="7580" w:hanging="353"/>
      </w:pPr>
      <w:rPr>
        <w:rFonts w:hint="default"/>
        <w:lang w:val="en-US" w:eastAsia="en-US" w:bidi="ar-SA"/>
      </w:rPr>
    </w:lvl>
  </w:abstractNum>
  <w:abstractNum w:abstractNumId="32" w15:restartNumberingAfterBreak="0">
    <w:nsid w:val="5EAA60E5"/>
    <w:multiLevelType w:val="hybridMultilevel"/>
    <w:tmpl w:val="F072D604"/>
    <w:lvl w:ilvl="0" w:tplc="EB32790E">
      <w:numFmt w:val="bullet"/>
      <w:lvlText w:val=""/>
      <w:lvlJc w:val="left"/>
      <w:pPr>
        <w:ind w:left="566" w:hanging="417"/>
      </w:pPr>
      <w:rPr>
        <w:rFonts w:ascii="Symbol" w:eastAsia="Symbol" w:hAnsi="Symbol" w:cs="Symbol" w:hint="default"/>
        <w:b w:val="0"/>
        <w:bCs w:val="0"/>
        <w:i w:val="0"/>
        <w:iCs w:val="0"/>
        <w:spacing w:val="0"/>
        <w:w w:val="103"/>
        <w:sz w:val="17"/>
        <w:szCs w:val="17"/>
        <w:lang w:val="en-US" w:eastAsia="en-US" w:bidi="ar-SA"/>
      </w:rPr>
    </w:lvl>
    <w:lvl w:ilvl="1" w:tplc="810E78F8">
      <w:numFmt w:val="bullet"/>
      <w:lvlText w:val="•"/>
      <w:lvlJc w:val="left"/>
      <w:pPr>
        <w:ind w:left="953" w:hanging="417"/>
      </w:pPr>
      <w:rPr>
        <w:rFonts w:hint="default"/>
        <w:lang w:val="en-US" w:eastAsia="en-US" w:bidi="ar-SA"/>
      </w:rPr>
    </w:lvl>
    <w:lvl w:ilvl="2" w:tplc="3DB4991A">
      <w:numFmt w:val="bullet"/>
      <w:lvlText w:val="•"/>
      <w:lvlJc w:val="left"/>
      <w:pPr>
        <w:ind w:left="1347" w:hanging="417"/>
      </w:pPr>
      <w:rPr>
        <w:rFonts w:hint="default"/>
        <w:lang w:val="en-US" w:eastAsia="en-US" w:bidi="ar-SA"/>
      </w:rPr>
    </w:lvl>
    <w:lvl w:ilvl="3" w:tplc="FBA6BD9E">
      <w:numFmt w:val="bullet"/>
      <w:lvlText w:val="•"/>
      <w:lvlJc w:val="left"/>
      <w:pPr>
        <w:ind w:left="1741" w:hanging="417"/>
      </w:pPr>
      <w:rPr>
        <w:rFonts w:hint="default"/>
        <w:lang w:val="en-US" w:eastAsia="en-US" w:bidi="ar-SA"/>
      </w:rPr>
    </w:lvl>
    <w:lvl w:ilvl="4" w:tplc="0C486D64">
      <w:numFmt w:val="bullet"/>
      <w:lvlText w:val="•"/>
      <w:lvlJc w:val="left"/>
      <w:pPr>
        <w:ind w:left="2135" w:hanging="417"/>
      </w:pPr>
      <w:rPr>
        <w:rFonts w:hint="default"/>
        <w:lang w:val="en-US" w:eastAsia="en-US" w:bidi="ar-SA"/>
      </w:rPr>
    </w:lvl>
    <w:lvl w:ilvl="5" w:tplc="32D8D5DE">
      <w:numFmt w:val="bullet"/>
      <w:lvlText w:val="•"/>
      <w:lvlJc w:val="left"/>
      <w:pPr>
        <w:ind w:left="2529" w:hanging="417"/>
      </w:pPr>
      <w:rPr>
        <w:rFonts w:hint="default"/>
        <w:lang w:val="en-US" w:eastAsia="en-US" w:bidi="ar-SA"/>
      </w:rPr>
    </w:lvl>
    <w:lvl w:ilvl="6" w:tplc="4272A624">
      <w:numFmt w:val="bullet"/>
      <w:lvlText w:val="•"/>
      <w:lvlJc w:val="left"/>
      <w:pPr>
        <w:ind w:left="2922" w:hanging="417"/>
      </w:pPr>
      <w:rPr>
        <w:rFonts w:hint="default"/>
        <w:lang w:val="en-US" w:eastAsia="en-US" w:bidi="ar-SA"/>
      </w:rPr>
    </w:lvl>
    <w:lvl w:ilvl="7" w:tplc="479EF1E0">
      <w:numFmt w:val="bullet"/>
      <w:lvlText w:val="•"/>
      <w:lvlJc w:val="left"/>
      <w:pPr>
        <w:ind w:left="3316" w:hanging="417"/>
      </w:pPr>
      <w:rPr>
        <w:rFonts w:hint="default"/>
        <w:lang w:val="en-US" w:eastAsia="en-US" w:bidi="ar-SA"/>
      </w:rPr>
    </w:lvl>
    <w:lvl w:ilvl="8" w:tplc="BF2A55D6">
      <w:numFmt w:val="bullet"/>
      <w:lvlText w:val="•"/>
      <w:lvlJc w:val="left"/>
      <w:pPr>
        <w:ind w:left="3710" w:hanging="417"/>
      </w:pPr>
      <w:rPr>
        <w:rFonts w:hint="default"/>
        <w:lang w:val="en-US" w:eastAsia="en-US" w:bidi="ar-SA"/>
      </w:rPr>
    </w:lvl>
  </w:abstractNum>
  <w:abstractNum w:abstractNumId="33" w15:restartNumberingAfterBreak="0">
    <w:nsid w:val="6140273D"/>
    <w:multiLevelType w:val="hybridMultilevel"/>
    <w:tmpl w:val="EEFE3062"/>
    <w:lvl w:ilvl="0" w:tplc="6A445012">
      <w:numFmt w:val="bullet"/>
      <w:lvlText w:val=""/>
      <w:lvlJc w:val="left"/>
      <w:pPr>
        <w:ind w:left="888" w:hanging="353"/>
      </w:pPr>
      <w:rPr>
        <w:rFonts w:ascii="Symbol" w:eastAsia="Symbol" w:hAnsi="Symbol" w:cs="Symbol" w:hint="default"/>
        <w:b w:val="0"/>
        <w:bCs w:val="0"/>
        <w:i w:val="0"/>
        <w:iCs w:val="0"/>
        <w:spacing w:val="0"/>
        <w:w w:val="99"/>
        <w:sz w:val="21"/>
        <w:szCs w:val="21"/>
        <w:lang w:val="en-US" w:eastAsia="en-US" w:bidi="ar-SA"/>
      </w:rPr>
    </w:lvl>
    <w:lvl w:ilvl="1" w:tplc="1CB6B91E">
      <w:numFmt w:val="bullet"/>
      <w:lvlText w:val=""/>
      <w:lvlJc w:val="left"/>
      <w:pPr>
        <w:ind w:left="1256" w:hanging="369"/>
      </w:pPr>
      <w:rPr>
        <w:rFonts w:ascii="Symbol" w:eastAsia="Symbol" w:hAnsi="Symbol" w:cs="Symbol" w:hint="default"/>
        <w:b w:val="0"/>
        <w:bCs w:val="0"/>
        <w:i w:val="0"/>
        <w:iCs w:val="0"/>
        <w:spacing w:val="0"/>
        <w:w w:val="99"/>
        <w:sz w:val="21"/>
        <w:szCs w:val="21"/>
        <w:lang w:val="en-US" w:eastAsia="en-US" w:bidi="ar-SA"/>
      </w:rPr>
    </w:lvl>
    <w:lvl w:ilvl="2" w:tplc="3B7EC64C">
      <w:numFmt w:val="bullet"/>
      <w:lvlText w:val="•"/>
      <w:lvlJc w:val="left"/>
      <w:pPr>
        <w:ind w:left="2159" w:hanging="369"/>
      </w:pPr>
      <w:rPr>
        <w:lang w:val="en-US" w:eastAsia="en-US" w:bidi="ar-SA"/>
      </w:rPr>
    </w:lvl>
    <w:lvl w:ilvl="3" w:tplc="C74C6564">
      <w:numFmt w:val="bullet"/>
      <w:lvlText w:val="•"/>
      <w:lvlJc w:val="left"/>
      <w:pPr>
        <w:ind w:left="3058" w:hanging="369"/>
      </w:pPr>
      <w:rPr>
        <w:lang w:val="en-US" w:eastAsia="en-US" w:bidi="ar-SA"/>
      </w:rPr>
    </w:lvl>
    <w:lvl w:ilvl="4" w:tplc="3738CDC2">
      <w:numFmt w:val="bullet"/>
      <w:lvlText w:val="•"/>
      <w:lvlJc w:val="left"/>
      <w:pPr>
        <w:ind w:left="3958" w:hanging="369"/>
      </w:pPr>
      <w:rPr>
        <w:lang w:val="en-US" w:eastAsia="en-US" w:bidi="ar-SA"/>
      </w:rPr>
    </w:lvl>
    <w:lvl w:ilvl="5" w:tplc="11D8E4B2">
      <w:numFmt w:val="bullet"/>
      <w:lvlText w:val="•"/>
      <w:lvlJc w:val="left"/>
      <w:pPr>
        <w:ind w:left="4857" w:hanging="369"/>
      </w:pPr>
      <w:rPr>
        <w:lang w:val="en-US" w:eastAsia="en-US" w:bidi="ar-SA"/>
      </w:rPr>
    </w:lvl>
    <w:lvl w:ilvl="6" w:tplc="38EE841C">
      <w:numFmt w:val="bullet"/>
      <w:lvlText w:val="•"/>
      <w:lvlJc w:val="left"/>
      <w:pPr>
        <w:ind w:left="5756" w:hanging="369"/>
      </w:pPr>
      <w:rPr>
        <w:lang w:val="en-US" w:eastAsia="en-US" w:bidi="ar-SA"/>
      </w:rPr>
    </w:lvl>
    <w:lvl w:ilvl="7" w:tplc="8ABCDFE8">
      <w:numFmt w:val="bullet"/>
      <w:lvlText w:val="•"/>
      <w:lvlJc w:val="left"/>
      <w:pPr>
        <w:ind w:left="6656" w:hanging="369"/>
      </w:pPr>
      <w:rPr>
        <w:lang w:val="en-US" w:eastAsia="en-US" w:bidi="ar-SA"/>
      </w:rPr>
    </w:lvl>
    <w:lvl w:ilvl="8" w:tplc="7EA86C00">
      <w:numFmt w:val="bullet"/>
      <w:lvlText w:val="•"/>
      <w:lvlJc w:val="left"/>
      <w:pPr>
        <w:ind w:left="7555" w:hanging="369"/>
      </w:pPr>
      <w:rPr>
        <w:lang w:val="en-US" w:eastAsia="en-US" w:bidi="ar-SA"/>
      </w:rPr>
    </w:lvl>
  </w:abstractNum>
  <w:abstractNum w:abstractNumId="34" w15:restartNumberingAfterBreak="0">
    <w:nsid w:val="64990987"/>
    <w:multiLevelType w:val="hybridMultilevel"/>
    <w:tmpl w:val="8020E82A"/>
    <w:lvl w:ilvl="0" w:tplc="31FAC74E">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B36A7C12">
      <w:numFmt w:val="bullet"/>
      <w:lvlText w:val="•"/>
      <w:lvlJc w:val="left"/>
      <w:pPr>
        <w:ind w:left="728" w:hanging="369"/>
      </w:pPr>
      <w:rPr>
        <w:rFonts w:hint="default"/>
        <w:lang w:val="en-US" w:eastAsia="en-US" w:bidi="ar-SA"/>
      </w:rPr>
    </w:lvl>
    <w:lvl w:ilvl="2" w:tplc="565C64A6">
      <w:numFmt w:val="bullet"/>
      <w:lvlText w:val="•"/>
      <w:lvlJc w:val="left"/>
      <w:pPr>
        <w:ind w:left="976" w:hanging="369"/>
      </w:pPr>
      <w:rPr>
        <w:rFonts w:hint="default"/>
        <w:lang w:val="en-US" w:eastAsia="en-US" w:bidi="ar-SA"/>
      </w:rPr>
    </w:lvl>
    <w:lvl w:ilvl="3" w:tplc="AC3E63FA">
      <w:numFmt w:val="bullet"/>
      <w:lvlText w:val="•"/>
      <w:lvlJc w:val="left"/>
      <w:pPr>
        <w:ind w:left="1224" w:hanging="369"/>
      </w:pPr>
      <w:rPr>
        <w:rFonts w:hint="default"/>
        <w:lang w:val="en-US" w:eastAsia="en-US" w:bidi="ar-SA"/>
      </w:rPr>
    </w:lvl>
    <w:lvl w:ilvl="4" w:tplc="ECD2DFD4">
      <w:numFmt w:val="bullet"/>
      <w:lvlText w:val="•"/>
      <w:lvlJc w:val="left"/>
      <w:pPr>
        <w:ind w:left="1472" w:hanging="369"/>
      </w:pPr>
      <w:rPr>
        <w:rFonts w:hint="default"/>
        <w:lang w:val="en-US" w:eastAsia="en-US" w:bidi="ar-SA"/>
      </w:rPr>
    </w:lvl>
    <w:lvl w:ilvl="5" w:tplc="51408D4E">
      <w:numFmt w:val="bullet"/>
      <w:lvlText w:val="•"/>
      <w:lvlJc w:val="left"/>
      <w:pPr>
        <w:ind w:left="1720" w:hanging="369"/>
      </w:pPr>
      <w:rPr>
        <w:rFonts w:hint="default"/>
        <w:lang w:val="en-US" w:eastAsia="en-US" w:bidi="ar-SA"/>
      </w:rPr>
    </w:lvl>
    <w:lvl w:ilvl="6" w:tplc="8D3488A6">
      <w:numFmt w:val="bullet"/>
      <w:lvlText w:val="•"/>
      <w:lvlJc w:val="left"/>
      <w:pPr>
        <w:ind w:left="1968" w:hanging="369"/>
      </w:pPr>
      <w:rPr>
        <w:rFonts w:hint="default"/>
        <w:lang w:val="en-US" w:eastAsia="en-US" w:bidi="ar-SA"/>
      </w:rPr>
    </w:lvl>
    <w:lvl w:ilvl="7" w:tplc="B6BA957C">
      <w:numFmt w:val="bullet"/>
      <w:lvlText w:val="•"/>
      <w:lvlJc w:val="left"/>
      <w:pPr>
        <w:ind w:left="2216" w:hanging="369"/>
      </w:pPr>
      <w:rPr>
        <w:rFonts w:hint="default"/>
        <w:lang w:val="en-US" w:eastAsia="en-US" w:bidi="ar-SA"/>
      </w:rPr>
    </w:lvl>
    <w:lvl w:ilvl="8" w:tplc="19342094">
      <w:numFmt w:val="bullet"/>
      <w:lvlText w:val="•"/>
      <w:lvlJc w:val="left"/>
      <w:pPr>
        <w:ind w:left="2464" w:hanging="369"/>
      </w:pPr>
      <w:rPr>
        <w:rFonts w:hint="default"/>
        <w:lang w:val="en-US" w:eastAsia="en-US" w:bidi="ar-SA"/>
      </w:rPr>
    </w:lvl>
  </w:abstractNum>
  <w:abstractNum w:abstractNumId="35" w15:restartNumberingAfterBreak="0">
    <w:nsid w:val="6A715057"/>
    <w:multiLevelType w:val="hybridMultilevel"/>
    <w:tmpl w:val="E0BC19CA"/>
    <w:lvl w:ilvl="0" w:tplc="D0586E54">
      <w:numFmt w:val="bullet"/>
      <w:lvlText w:val=""/>
      <w:lvlJc w:val="left"/>
      <w:pPr>
        <w:ind w:left="486" w:hanging="369"/>
      </w:pPr>
      <w:rPr>
        <w:rFonts w:ascii="Wingdings" w:eastAsia="Wingdings" w:hAnsi="Wingdings" w:cs="Wingdings" w:hint="default"/>
        <w:b w:val="0"/>
        <w:bCs w:val="0"/>
        <w:i w:val="0"/>
        <w:iCs w:val="0"/>
        <w:spacing w:val="0"/>
        <w:w w:val="103"/>
        <w:sz w:val="17"/>
        <w:szCs w:val="17"/>
        <w:lang w:val="en-US" w:eastAsia="en-US" w:bidi="ar-SA"/>
      </w:rPr>
    </w:lvl>
    <w:lvl w:ilvl="1" w:tplc="18AE2BF6">
      <w:numFmt w:val="bullet"/>
      <w:lvlText w:val="•"/>
      <w:lvlJc w:val="left"/>
      <w:pPr>
        <w:ind w:left="753" w:hanging="369"/>
      </w:pPr>
      <w:rPr>
        <w:rFonts w:hint="default"/>
        <w:lang w:val="en-US" w:eastAsia="en-US" w:bidi="ar-SA"/>
      </w:rPr>
    </w:lvl>
    <w:lvl w:ilvl="2" w:tplc="CC78CFAE">
      <w:numFmt w:val="bullet"/>
      <w:lvlText w:val="•"/>
      <w:lvlJc w:val="left"/>
      <w:pPr>
        <w:ind w:left="1027" w:hanging="369"/>
      </w:pPr>
      <w:rPr>
        <w:rFonts w:hint="default"/>
        <w:lang w:val="en-US" w:eastAsia="en-US" w:bidi="ar-SA"/>
      </w:rPr>
    </w:lvl>
    <w:lvl w:ilvl="3" w:tplc="F53CA0E0">
      <w:numFmt w:val="bullet"/>
      <w:lvlText w:val="•"/>
      <w:lvlJc w:val="left"/>
      <w:pPr>
        <w:ind w:left="1300" w:hanging="369"/>
      </w:pPr>
      <w:rPr>
        <w:rFonts w:hint="default"/>
        <w:lang w:val="en-US" w:eastAsia="en-US" w:bidi="ar-SA"/>
      </w:rPr>
    </w:lvl>
    <w:lvl w:ilvl="4" w:tplc="3288D9EA">
      <w:numFmt w:val="bullet"/>
      <w:lvlText w:val="•"/>
      <w:lvlJc w:val="left"/>
      <w:pPr>
        <w:ind w:left="1574" w:hanging="369"/>
      </w:pPr>
      <w:rPr>
        <w:rFonts w:hint="default"/>
        <w:lang w:val="en-US" w:eastAsia="en-US" w:bidi="ar-SA"/>
      </w:rPr>
    </w:lvl>
    <w:lvl w:ilvl="5" w:tplc="63344E9E">
      <w:numFmt w:val="bullet"/>
      <w:lvlText w:val="•"/>
      <w:lvlJc w:val="left"/>
      <w:pPr>
        <w:ind w:left="1848" w:hanging="369"/>
      </w:pPr>
      <w:rPr>
        <w:rFonts w:hint="default"/>
        <w:lang w:val="en-US" w:eastAsia="en-US" w:bidi="ar-SA"/>
      </w:rPr>
    </w:lvl>
    <w:lvl w:ilvl="6" w:tplc="54E42AC8">
      <w:numFmt w:val="bullet"/>
      <w:lvlText w:val="•"/>
      <w:lvlJc w:val="left"/>
      <w:pPr>
        <w:ind w:left="2121" w:hanging="369"/>
      </w:pPr>
      <w:rPr>
        <w:rFonts w:hint="default"/>
        <w:lang w:val="en-US" w:eastAsia="en-US" w:bidi="ar-SA"/>
      </w:rPr>
    </w:lvl>
    <w:lvl w:ilvl="7" w:tplc="C35E79F6">
      <w:numFmt w:val="bullet"/>
      <w:lvlText w:val="•"/>
      <w:lvlJc w:val="left"/>
      <w:pPr>
        <w:ind w:left="2395" w:hanging="369"/>
      </w:pPr>
      <w:rPr>
        <w:rFonts w:hint="default"/>
        <w:lang w:val="en-US" w:eastAsia="en-US" w:bidi="ar-SA"/>
      </w:rPr>
    </w:lvl>
    <w:lvl w:ilvl="8" w:tplc="5DD41A16">
      <w:numFmt w:val="bullet"/>
      <w:lvlText w:val="•"/>
      <w:lvlJc w:val="left"/>
      <w:pPr>
        <w:ind w:left="2668" w:hanging="369"/>
      </w:pPr>
      <w:rPr>
        <w:rFonts w:hint="default"/>
        <w:lang w:val="en-US" w:eastAsia="en-US" w:bidi="ar-SA"/>
      </w:rPr>
    </w:lvl>
  </w:abstractNum>
  <w:abstractNum w:abstractNumId="36" w15:restartNumberingAfterBreak="0">
    <w:nsid w:val="6CB663B7"/>
    <w:multiLevelType w:val="hybridMultilevel"/>
    <w:tmpl w:val="6EFE5EDC"/>
    <w:lvl w:ilvl="0" w:tplc="85B01354">
      <w:numFmt w:val="bullet"/>
      <w:lvlText w:val=""/>
      <w:lvlJc w:val="left"/>
      <w:pPr>
        <w:ind w:left="839" w:hanging="353"/>
      </w:pPr>
      <w:rPr>
        <w:rFonts w:ascii="Symbol" w:eastAsia="Symbol" w:hAnsi="Symbol" w:cs="Symbol" w:hint="default"/>
        <w:b w:val="0"/>
        <w:bCs w:val="0"/>
        <w:i w:val="0"/>
        <w:iCs w:val="0"/>
        <w:spacing w:val="0"/>
        <w:w w:val="103"/>
        <w:sz w:val="17"/>
        <w:szCs w:val="17"/>
        <w:lang w:val="en-US" w:eastAsia="en-US" w:bidi="ar-SA"/>
      </w:rPr>
    </w:lvl>
    <w:lvl w:ilvl="1" w:tplc="C40ECC1C">
      <w:numFmt w:val="bullet"/>
      <w:lvlText w:val="•"/>
      <w:lvlJc w:val="left"/>
      <w:pPr>
        <w:ind w:left="1470" w:hanging="353"/>
      </w:pPr>
      <w:rPr>
        <w:rFonts w:hint="default"/>
        <w:lang w:val="en-US" w:eastAsia="en-US" w:bidi="ar-SA"/>
      </w:rPr>
    </w:lvl>
    <w:lvl w:ilvl="2" w:tplc="CF50E1A2">
      <w:numFmt w:val="bullet"/>
      <w:lvlText w:val="•"/>
      <w:lvlJc w:val="left"/>
      <w:pPr>
        <w:ind w:left="2100" w:hanging="353"/>
      </w:pPr>
      <w:rPr>
        <w:rFonts w:hint="default"/>
        <w:lang w:val="en-US" w:eastAsia="en-US" w:bidi="ar-SA"/>
      </w:rPr>
    </w:lvl>
    <w:lvl w:ilvl="3" w:tplc="7F04569C">
      <w:numFmt w:val="bullet"/>
      <w:lvlText w:val="•"/>
      <w:lvlJc w:val="left"/>
      <w:pPr>
        <w:ind w:left="2730" w:hanging="353"/>
      </w:pPr>
      <w:rPr>
        <w:rFonts w:hint="default"/>
        <w:lang w:val="en-US" w:eastAsia="en-US" w:bidi="ar-SA"/>
      </w:rPr>
    </w:lvl>
    <w:lvl w:ilvl="4" w:tplc="000634AA">
      <w:numFmt w:val="bullet"/>
      <w:lvlText w:val="•"/>
      <w:lvlJc w:val="left"/>
      <w:pPr>
        <w:ind w:left="3360" w:hanging="353"/>
      </w:pPr>
      <w:rPr>
        <w:rFonts w:hint="default"/>
        <w:lang w:val="en-US" w:eastAsia="en-US" w:bidi="ar-SA"/>
      </w:rPr>
    </w:lvl>
    <w:lvl w:ilvl="5" w:tplc="E6A6FE16">
      <w:numFmt w:val="bullet"/>
      <w:lvlText w:val="•"/>
      <w:lvlJc w:val="left"/>
      <w:pPr>
        <w:ind w:left="3990" w:hanging="353"/>
      </w:pPr>
      <w:rPr>
        <w:rFonts w:hint="default"/>
        <w:lang w:val="en-US" w:eastAsia="en-US" w:bidi="ar-SA"/>
      </w:rPr>
    </w:lvl>
    <w:lvl w:ilvl="6" w:tplc="207A3A32">
      <w:numFmt w:val="bullet"/>
      <w:lvlText w:val="•"/>
      <w:lvlJc w:val="left"/>
      <w:pPr>
        <w:ind w:left="4620" w:hanging="353"/>
      </w:pPr>
      <w:rPr>
        <w:rFonts w:hint="default"/>
        <w:lang w:val="en-US" w:eastAsia="en-US" w:bidi="ar-SA"/>
      </w:rPr>
    </w:lvl>
    <w:lvl w:ilvl="7" w:tplc="F0B6F884">
      <w:numFmt w:val="bullet"/>
      <w:lvlText w:val="•"/>
      <w:lvlJc w:val="left"/>
      <w:pPr>
        <w:ind w:left="5250" w:hanging="353"/>
      </w:pPr>
      <w:rPr>
        <w:rFonts w:hint="default"/>
        <w:lang w:val="en-US" w:eastAsia="en-US" w:bidi="ar-SA"/>
      </w:rPr>
    </w:lvl>
    <w:lvl w:ilvl="8" w:tplc="84704416">
      <w:numFmt w:val="bullet"/>
      <w:lvlText w:val="•"/>
      <w:lvlJc w:val="left"/>
      <w:pPr>
        <w:ind w:left="5880" w:hanging="353"/>
      </w:pPr>
      <w:rPr>
        <w:rFonts w:hint="default"/>
        <w:lang w:val="en-US" w:eastAsia="en-US" w:bidi="ar-SA"/>
      </w:rPr>
    </w:lvl>
  </w:abstractNum>
  <w:abstractNum w:abstractNumId="37" w15:restartNumberingAfterBreak="0">
    <w:nsid w:val="6EBE45A1"/>
    <w:multiLevelType w:val="hybridMultilevel"/>
    <w:tmpl w:val="F306DB58"/>
    <w:lvl w:ilvl="0" w:tplc="6A48A90C">
      <w:numFmt w:val="bullet"/>
      <w:lvlText w:val=""/>
      <w:lvlJc w:val="left"/>
      <w:pPr>
        <w:ind w:left="566" w:hanging="417"/>
      </w:pPr>
      <w:rPr>
        <w:rFonts w:ascii="Symbol" w:eastAsia="Symbol" w:hAnsi="Symbol" w:cs="Symbol" w:hint="default"/>
        <w:b w:val="0"/>
        <w:bCs w:val="0"/>
        <w:i w:val="0"/>
        <w:iCs w:val="0"/>
        <w:spacing w:val="0"/>
        <w:w w:val="103"/>
        <w:sz w:val="17"/>
        <w:szCs w:val="17"/>
        <w:lang w:val="en-US" w:eastAsia="en-US" w:bidi="ar-SA"/>
      </w:rPr>
    </w:lvl>
    <w:lvl w:ilvl="1" w:tplc="BE5C593C">
      <w:numFmt w:val="bullet"/>
      <w:lvlText w:val="•"/>
      <w:lvlJc w:val="left"/>
      <w:pPr>
        <w:ind w:left="953" w:hanging="417"/>
      </w:pPr>
      <w:rPr>
        <w:rFonts w:hint="default"/>
        <w:lang w:val="en-US" w:eastAsia="en-US" w:bidi="ar-SA"/>
      </w:rPr>
    </w:lvl>
    <w:lvl w:ilvl="2" w:tplc="DDF47BE2">
      <w:numFmt w:val="bullet"/>
      <w:lvlText w:val="•"/>
      <w:lvlJc w:val="left"/>
      <w:pPr>
        <w:ind w:left="1347" w:hanging="417"/>
      </w:pPr>
      <w:rPr>
        <w:rFonts w:hint="default"/>
        <w:lang w:val="en-US" w:eastAsia="en-US" w:bidi="ar-SA"/>
      </w:rPr>
    </w:lvl>
    <w:lvl w:ilvl="3" w:tplc="F49CC2E6">
      <w:numFmt w:val="bullet"/>
      <w:lvlText w:val="•"/>
      <w:lvlJc w:val="left"/>
      <w:pPr>
        <w:ind w:left="1741" w:hanging="417"/>
      </w:pPr>
      <w:rPr>
        <w:rFonts w:hint="default"/>
        <w:lang w:val="en-US" w:eastAsia="en-US" w:bidi="ar-SA"/>
      </w:rPr>
    </w:lvl>
    <w:lvl w:ilvl="4" w:tplc="8FB22E6A">
      <w:numFmt w:val="bullet"/>
      <w:lvlText w:val="•"/>
      <w:lvlJc w:val="left"/>
      <w:pPr>
        <w:ind w:left="2135" w:hanging="417"/>
      </w:pPr>
      <w:rPr>
        <w:rFonts w:hint="default"/>
        <w:lang w:val="en-US" w:eastAsia="en-US" w:bidi="ar-SA"/>
      </w:rPr>
    </w:lvl>
    <w:lvl w:ilvl="5" w:tplc="1E506BB4">
      <w:numFmt w:val="bullet"/>
      <w:lvlText w:val="•"/>
      <w:lvlJc w:val="left"/>
      <w:pPr>
        <w:ind w:left="2529" w:hanging="417"/>
      </w:pPr>
      <w:rPr>
        <w:rFonts w:hint="default"/>
        <w:lang w:val="en-US" w:eastAsia="en-US" w:bidi="ar-SA"/>
      </w:rPr>
    </w:lvl>
    <w:lvl w:ilvl="6" w:tplc="7A080236">
      <w:numFmt w:val="bullet"/>
      <w:lvlText w:val="•"/>
      <w:lvlJc w:val="left"/>
      <w:pPr>
        <w:ind w:left="2922" w:hanging="417"/>
      </w:pPr>
      <w:rPr>
        <w:rFonts w:hint="default"/>
        <w:lang w:val="en-US" w:eastAsia="en-US" w:bidi="ar-SA"/>
      </w:rPr>
    </w:lvl>
    <w:lvl w:ilvl="7" w:tplc="3C5018BE">
      <w:numFmt w:val="bullet"/>
      <w:lvlText w:val="•"/>
      <w:lvlJc w:val="left"/>
      <w:pPr>
        <w:ind w:left="3316" w:hanging="417"/>
      </w:pPr>
      <w:rPr>
        <w:rFonts w:hint="default"/>
        <w:lang w:val="en-US" w:eastAsia="en-US" w:bidi="ar-SA"/>
      </w:rPr>
    </w:lvl>
    <w:lvl w:ilvl="8" w:tplc="84CE78AA">
      <w:numFmt w:val="bullet"/>
      <w:lvlText w:val="•"/>
      <w:lvlJc w:val="left"/>
      <w:pPr>
        <w:ind w:left="3710" w:hanging="417"/>
      </w:pPr>
      <w:rPr>
        <w:rFonts w:hint="default"/>
        <w:lang w:val="en-US" w:eastAsia="en-US" w:bidi="ar-SA"/>
      </w:rPr>
    </w:lvl>
  </w:abstractNum>
  <w:abstractNum w:abstractNumId="38" w15:restartNumberingAfterBreak="0">
    <w:nsid w:val="716924BD"/>
    <w:multiLevelType w:val="hybridMultilevel"/>
    <w:tmpl w:val="5F50F38A"/>
    <w:lvl w:ilvl="0" w:tplc="7DB87BD4">
      <w:start w:val="1"/>
      <w:numFmt w:val="decimal"/>
      <w:lvlText w:val="%1."/>
      <w:lvlJc w:val="left"/>
      <w:pPr>
        <w:ind w:left="264" w:hanging="240"/>
      </w:pPr>
      <w:rPr>
        <w:rFonts w:ascii="Arial" w:eastAsia="Arial" w:hAnsi="Arial" w:cs="Arial" w:hint="default"/>
        <w:b/>
        <w:bCs/>
        <w:i/>
        <w:iCs/>
        <w:spacing w:val="-4"/>
        <w:w w:val="99"/>
        <w:sz w:val="21"/>
        <w:szCs w:val="21"/>
        <w:lang w:val="en-US" w:eastAsia="en-US" w:bidi="ar-SA"/>
      </w:rPr>
    </w:lvl>
    <w:lvl w:ilvl="1" w:tplc="DB68A8D8">
      <w:numFmt w:val="bullet"/>
      <w:lvlText w:val="o"/>
      <w:lvlJc w:val="left"/>
      <w:pPr>
        <w:ind w:left="746" w:hanging="353"/>
      </w:pPr>
      <w:rPr>
        <w:rFonts w:ascii="Courier New" w:eastAsia="Courier New" w:hAnsi="Courier New" w:cs="Courier New" w:hint="default"/>
        <w:b w:val="0"/>
        <w:bCs w:val="0"/>
        <w:i w:val="0"/>
        <w:iCs w:val="0"/>
        <w:spacing w:val="0"/>
        <w:w w:val="99"/>
        <w:sz w:val="21"/>
        <w:szCs w:val="21"/>
        <w:lang w:val="en-US" w:eastAsia="en-US" w:bidi="ar-SA"/>
      </w:rPr>
    </w:lvl>
    <w:lvl w:ilvl="2" w:tplc="0A3E4448">
      <w:numFmt w:val="bullet"/>
      <w:lvlText w:val="•"/>
      <w:lvlJc w:val="left"/>
      <w:pPr>
        <w:ind w:left="1712" w:hanging="353"/>
      </w:pPr>
      <w:rPr>
        <w:rFonts w:hint="default"/>
        <w:lang w:val="en-US" w:eastAsia="en-US" w:bidi="ar-SA"/>
      </w:rPr>
    </w:lvl>
    <w:lvl w:ilvl="3" w:tplc="F4308EDC">
      <w:numFmt w:val="bullet"/>
      <w:lvlText w:val="•"/>
      <w:lvlJc w:val="left"/>
      <w:pPr>
        <w:ind w:left="2685" w:hanging="353"/>
      </w:pPr>
      <w:rPr>
        <w:rFonts w:hint="default"/>
        <w:lang w:val="en-US" w:eastAsia="en-US" w:bidi="ar-SA"/>
      </w:rPr>
    </w:lvl>
    <w:lvl w:ilvl="4" w:tplc="17928D3A">
      <w:numFmt w:val="bullet"/>
      <w:lvlText w:val="•"/>
      <w:lvlJc w:val="left"/>
      <w:pPr>
        <w:ind w:left="3658" w:hanging="353"/>
      </w:pPr>
      <w:rPr>
        <w:rFonts w:hint="default"/>
        <w:lang w:val="en-US" w:eastAsia="en-US" w:bidi="ar-SA"/>
      </w:rPr>
    </w:lvl>
    <w:lvl w:ilvl="5" w:tplc="7CF675C0">
      <w:numFmt w:val="bullet"/>
      <w:lvlText w:val="•"/>
      <w:lvlJc w:val="left"/>
      <w:pPr>
        <w:ind w:left="4631" w:hanging="353"/>
      </w:pPr>
      <w:rPr>
        <w:rFonts w:hint="default"/>
        <w:lang w:val="en-US" w:eastAsia="en-US" w:bidi="ar-SA"/>
      </w:rPr>
    </w:lvl>
    <w:lvl w:ilvl="6" w:tplc="B8587828">
      <w:numFmt w:val="bullet"/>
      <w:lvlText w:val="•"/>
      <w:lvlJc w:val="left"/>
      <w:pPr>
        <w:ind w:left="5603" w:hanging="353"/>
      </w:pPr>
      <w:rPr>
        <w:rFonts w:hint="default"/>
        <w:lang w:val="en-US" w:eastAsia="en-US" w:bidi="ar-SA"/>
      </w:rPr>
    </w:lvl>
    <w:lvl w:ilvl="7" w:tplc="34562DA8">
      <w:numFmt w:val="bullet"/>
      <w:lvlText w:val="•"/>
      <w:lvlJc w:val="left"/>
      <w:pPr>
        <w:ind w:left="6576" w:hanging="353"/>
      </w:pPr>
      <w:rPr>
        <w:rFonts w:hint="default"/>
        <w:lang w:val="en-US" w:eastAsia="en-US" w:bidi="ar-SA"/>
      </w:rPr>
    </w:lvl>
    <w:lvl w:ilvl="8" w:tplc="02443C0C">
      <w:numFmt w:val="bullet"/>
      <w:lvlText w:val="•"/>
      <w:lvlJc w:val="left"/>
      <w:pPr>
        <w:ind w:left="7549" w:hanging="353"/>
      </w:pPr>
      <w:rPr>
        <w:rFonts w:hint="default"/>
        <w:lang w:val="en-US" w:eastAsia="en-US" w:bidi="ar-SA"/>
      </w:rPr>
    </w:lvl>
  </w:abstractNum>
  <w:abstractNum w:abstractNumId="39" w15:restartNumberingAfterBreak="0">
    <w:nsid w:val="78B6343B"/>
    <w:multiLevelType w:val="hybridMultilevel"/>
    <w:tmpl w:val="FCAAC3BA"/>
    <w:lvl w:ilvl="0" w:tplc="470E60D0">
      <w:start w:val="1"/>
      <w:numFmt w:val="lowerLetter"/>
      <w:lvlText w:val="%1."/>
      <w:lvlJc w:val="left"/>
      <w:pPr>
        <w:ind w:left="761" w:hanging="240"/>
      </w:pPr>
      <w:rPr>
        <w:rFonts w:ascii="Arial" w:eastAsia="Arial" w:hAnsi="Arial" w:cs="Arial" w:hint="default"/>
        <w:b w:val="0"/>
        <w:bCs w:val="0"/>
        <w:i/>
        <w:iCs/>
        <w:spacing w:val="-4"/>
        <w:w w:val="99"/>
        <w:sz w:val="21"/>
        <w:szCs w:val="21"/>
        <w:lang w:val="en-US" w:eastAsia="en-US" w:bidi="ar-SA"/>
      </w:rPr>
    </w:lvl>
    <w:lvl w:ilvl="1" w:tplc="8D2A30A2">
      <w:numFmt w:val="bullet"/>
      <w:lvlText w:val="•"/>
      <w:lvlJc w:val="left"/>
      <w:pPr>
        <w:ind w:left="1633" w:hanging="240"/>
      </w:pPr>
      <w:rPr>
        <w:rFonts w:hint="default"/>
        <w:lang w:val="en-US" w:eastAsia="en-US" w:bidi="ar-SA"/>
      </w:rPr>
    </w:lvl>
    <w:lvl w:ilvl="2" w:tplc="21622CC2">
      <w:numFmt w:val="bullet"/>
      <w:lvlText w:val="•"/>
      <w:lvlJc w:val="left"/>
      <w:pPr>
        <w:ind w:left="2507" w:hanging="240"/>
      </w:pPr>
      <w:rPr>
        <w:rFonts w:hint="default"/>
        <w:lang w:val="en-US" w:eastAsia="en-US" w:bidi="ar-SA"/>
      </w:rPr>
    </w:lvl>
    <w:lvl w:ilvl="3" w:tplc="5B02B9FE">
      <w:numFmt w:val="bullet"/>
      <w:lvlText w:val="•"/>
      <w:lvlJc w:val="left"/>
      <w:pPr>
        <w:ind w:left="3380" w:hanging="240"/>
      </w:pPr>
      <w:rPr>
        <w:rFonts w:hint="default"/>
        <w:lang w:val="en-US" w:eastAsia="en-US" w:bidi="ar-SA"/>
      </w:rPr>
    </w:lvl>
    <w:lvl w:ilvl="4" w:tplc="F82A000E">
      <w:numFmt w:val="bullet"/>
      <w:lvlText w:val="•"/>
      <w:lvlJc w:val="left"/>
      <w:pPr>
        <w:ind w:left="4254" w:hanging="240"/>
      </w:pPr>
      <w:rPr>
        <w:rFonts w:hint="default"/>
        <w:lang w:val="en-US" w:eastAsia="en-US" w:bidi="ar-SA"/>
      </w:rPr>
    </w:lvl>
    <w:lvl w:ilvl="5" w:tplc="9A52D8AC">
      <w:numFmt w:val="bullet"/>
      <w:lvlText w:val="•"/>
      <w:lvlJc w:val="left"/>
      <w:pPr>
        <w:ind w:left="5127" w:hanging="240"/>
      </w:pPr>
      <w:rPr>
        <w:rFonts w:hint="default"/>
        <w:lang w:val="en-US" w:eastAsia="en-US" w:bidi="ar-SA"/>
      </w:rPr>
    </w:lvl>
    <w:lvl w:ilvl="6" w:tplc="B9EACBAC">
      <w:numFmt w:val="bullet"/>
      <w:lvlText w:val="•"/>
      <w:lvlJc w:val="left"/>
      <w:pPr>
        <w:ind w:left="6001" w:hanging="240"/>
      </w:pPr>
      <w:rPr>
        <w:rFonts w:hint="default"/>
        <w:lang w:val="en-US" w:eastAsia="en-US" w:bidi="ar-SA"/>
      </w:rPr>
    </w:lvl>
    <w:lvl w:ilvl="7" w:tplc="FC168ACC">
      <w:numFmt w:val="bullet"/>
      <w:lvlText w:val="•"/>
      <w:lvlJc w:val="left"/>
      <w:pPr>
        <w:ind w:left="6874" w:hanging="240"/>
      </w:pPr>
      <w:rPr>
        <w:rFonts w:hint="default"/>
        <w:lang w:val="en-US" w:eastAsia="en-US" w:bidi="ar-SA"/>
      </w:rPr>
    </w:lvl>
    <w:lvl w:ilvl="8" w:tplc="19682ADA">
      <w:numFmt w:val="bullet"/>
      <w:lvlText w:val="•"/>
      <w:lvlJc w:val="left"/>
      <w:pPr>
        <w:ind w:left="7748" w:hanging="240"/>
      </w:pPr>
      <w:rPr>
        <w:rFonts w:hint="default"/>
        <w:lang w:val="en-US" w:eastAsia="en-US" w:bidi="ar-SA"/>
      </w:rPr>
    </w:lvl>
  </w:abstractNum>
  <w:abstractNum w:abstractNumId="40" w15:restartNumberingAfterBreak="0">
    <w:nsid w:val="7CE82F1D"/>
    <w:multiLevelType w:val="hybridMultilevel"/>
    <w:tmpl w:val="6A603B3C"/>
    <w:lvl w:ilvl="0" w:tplc="B712E22A">
      <w:numFmt w:val="bullet"/>
      <w:lvlText w:val=""/>
      <w:lvlJc w:val="left"/>
      <w:pPr>
        <w:ind w:left="486" w:hanging="369"/>
      </w:pPr>
      <w:rPr>
        <w:rFonts w:ascii="Symbol" w:eastAsia="Symbol" w:hAnsi="Symbol" w:cs="Symbol" w:hint="default"/>
        <w:b w:val="0"/>
        <w:bCs w:val="0"/>
        <w:i w:val="0"/>
        <w:iCs w:val="0"/>
        <w:spacing w:val="0"/>
        <w:w w:val="103"/>
        <w:sz w:val="17"/>
        <w:szCs w:val="17"/>
        <w:lang w:val="en-US" w:eastAsia="en-US" w:bidi="ar-SA"/>
      </w:rPr>
    </w:lvl>
    <w:lvl w:ilvl="1" w:tplc="0E2E5052">
      <w:numFmt w:val="bullet"/>
      <w:lvlText w:val=""/>
      <w:lvlJc w:val="left"/>
      <w:pPr>
        <w:ind w:left="839" w:hanging="353"/>
      </w:pPr>
      <w:rPr>
        <w:rFonts w:ascii="Symbol" w:eastAsia="Symbol" w:hAnsi="Symbol" w:cs="Symbol" w:hint="default"/>
        <w:b w:val="0"/>
        <w:bCs w:val="0"/>
        <w:i w:val="0"/>
        <w:iCs w:val="0"/>
        <w:spacing w:val="0"/>
        <w:w w:val="103"/>
        <w:sz w:val="17"/>
        <w:szCs w:val="17"/>
        <w:lang w:val="en-US" w:eastAsia="en-US" w:bidi="ar-SA"/>
      </w:rPr>
    </w:lvl>
    <w:lvl w:ilvl="2" w:tplc="D8DACEDA">
      <w:numFmt w:val="bullet"/>
      <w:lvlText w:val="•"/>
      <w:lvlJc w:val="left"/>
      <w:pPr>
        <w:ind w:left="1540" w:hanging="353"/>
      </w:pPr>
      <w:rPr>
        <w:rFonts w:hint="default"/>
        <w:lang w:val="en-US" w:eastAsia="en-US" w:bidi="ar-SA"/>
      </w:rPr>
    </w:lvl>
    <w:lvl w:ilvl="3" w:tplc="05CA5000">
      <w:numFmt w:val="bullet"/>
      <w:lvlText w:val="•"/>
      <w:lvlJc w:val="left"/>
      <w:pPr>
        <w:ind w:left="2240" w:hanging="353"/>
      </w:pPr>
      <w:rPr>
        <w:rFonts w:hint="default"/>
        <w:lang w:val="en-US" w:eastAsia="en-US" w:bidi="ar-SA"/>
      </w:rPr>
    </w:lvl>
    <w:lvl w:ilvl="4" w:tplc="A2D4317C">
      <w:numFmt w:val="bullet"/>
      <w:lvlText w:val="•"/>
      <w:lvlJc w:val="left"/>
      <w:pPr>
        <w:ind w:left="2940" w:hanging="353"/>
      </w:pPr>
      <w:rPr>
        <w:rFonts w:hint="default"/>
        <w:lang w:val="en-US" w:eastAsia="en-US" w:bidi="ar-SA"/>
      </w:rPr>
    </w:lvl>
    <w:lvl w:ilvl="5" w:tplc="AE1E5864">
      <w:numFmt w:val="bullet"/>
      <w:lvlText w:val="•"/>
      <w:lvlJc w:val="left"/>
      <w:pPr>
        <w:ind w:left="3640" w:hanging="353"/>
      </w:pPr>
      <w:rPr>
        <w:rFonts w:hint="default"/>
        <w:lang w:val="en-US" w:eastAsia="en-US" w:bidi="ar-SA"/>
      </w:rPr>
    </w:lvl>
    <w:lvl w:ilvl="6" w:tplc="794E247A">
      <w:numFmt w:val="bullet"/>
      <w:lvlText w:val="•"/>
      <w:lvlJc w:val="left"/>
      <w:pPr>
        <w:ind w:left="4340" w:hanging="353"/>
      </w:pPr>
      <w:rPr>
        <w:rFonts w:hint="default"/>
        <w:lang w:val="en-US" w:eastAsia="en-US" w:bidi="ar-SA"/>
      </w:rPr>
    </w:lvl>
    <w:lvl w:ilvl="7" w:tplc="B4A46832">
      <w:numFmt w:val="bullet"/>
      <w:lvlText w:val="•"/>
      <w:lvlJc w:val="left"/>
      <w:pPr>
        <w:ind w:left="5040" w:hanging="353"/>
      </w:pPr>
      <w:rPr>
        <w:rFonts w:hint="default"/>
        <w:lang w:val="en-US" w:eastAsia="en-US" w:bidi="ar-SA"/>
      </w:rPr>
    </w:lvl>
    <w:lvl w:ilvl="8" w:tplc="E0E8D87E">
      <w:numFmt w:val="bullet"/>
      <w:lvlText w:val="•"/>
      <w:lvlJc w:val="left"/>
      <w:pPr>
        <w:ind w:left="5740" w:hanging="353"/>
      </w:pPr>
      <w:rPr>
        <w:rFonts w:hint="default"/>
        <w:lang w:val="en-US" w:eastAsia="en-US" w:bidi="ar-SA"/>
      </w:rPr>
    </w:lvl>
  </w:abstractNum>
  <w:abstractNum w:abstractNumId="41" w15:restartNumberingAfterBreak="0">
    <w:nsid w:val="7E683A84"/>
    <w:multiLevelType w:val="hybridMultilevel"/>
    <w:tmpl w:val="4ED2495E"/>
    <w:lvl w:ilvl="0" w:tplc="0FF82102">
      <w:numFmt w:val="bullet"/>
      <w:lvlText w:val=""/>
      <w:lvlJc w:val="left"/>
      <w:pPr>
        <w:ind w:left="438" w:hanging="289"/>
      </w:pPr>
      <w:rPr>
        <w:rFonts w:ascii="Symbol" w:eastAsia="Symbol" w:hAnsi="Symbol" w:cs="Symbol" w:hint="default"/>
        <w:b w:val="0"/>
        <w:bCs w:val="0"/>
        <w:i w:val="0"/>
        <w:iCs w:val="0"/>
        <w:spacing w:val="0"/>
        <w:w w:val="103"/>
        <w:sz w:val="17"/>
        <w:szCs w:val="17"/>
        <w:lang w:val="en-US" w:eastAsia="en-US" w:bidi="ar-SA"/>
      </w:rPr>
    </w:lvl>
    <w:lvl w:ilvl="1" w:tplc="9886F74C">
      <w:numFmt w:val="bullet"/>
      <w:lvlText w:val="•"/>
      <w:lvlJc w:val="left"/>
      <w:pPr>
        <w:ind w:left="1299" w:hanging="289"/>
      </w:pPr>
      <w:rPr>
        <w:rFonts w:hint="default"/>
        <w:lang w:val="en-US" w:eastAsia="en-US" w:bidi="ar-SA"/>
      </w:rPr>
    </w:lvl>
    <w:lvl w:ilvl="2" w:tplc="D106784C">
      <w:numFmt w:val="bullet"/>
      <w:lvlText w:val="•"/>
      <w:lvlJc w:val="left"/>
      <w:pPr>
        <w:ind w:left="2158" w:hanging="289"/>
      </w:pPr>
      <w:rPr>
        <w:rFonts w:hint="default"/>
        <w:lang w:val="en-US" w:eastAsia="en-US" w:bidi="ar-SA"/>
      </w:rPr>
    </w:lvl>
    <w:lvl w:ilvl="3" w:tplc="979CA5B8">
      <w:numFmt w:val="bullet"/>
      <w:lvlText w:val="•"/>
      <w:lvlJc w:val="left"/>
      <w:pPr>
        <w:ind w:left="3017" w:hanging="289"/>
      </w:pPr>
      <w:rPr>
        <w:rFonts w:hint="default"/>
        <w:lang w:val="en-US" w:eastAsia="en-US" w:bidi="ar-SA"/>
      </w:rPr>
    </w:lvl>
    <w:lvl w:ilvl="4" w:tplc="ECC04404">
      <w:numFmt w:val="bullet"/>
      <w:lvlText w:val="•"/>
      <w:lvlJc w:val="left"/>
      <w:pPr>
        <w:ind w:left="3876" w:hanging="289"/>
      </w:pPr>
      <w:rPr>
        <w:rFonts w:hint="default"/>
        <w:lang w:val="en-US" w:eastAsia="en-US" w:bidi="ar-SA"/>
      </w:rPr>
    </w:lvl>
    <w:lvl w:ilvl="5" w:tplc="A5180E94">
      <w:numFmt w:val="bullet"/>
      <w:lvlText w:val="•"/>
      <w:lvlJc w:val="left"/>
      <w:pPr>
        <w:ind w:left="4736" w:hanging="289"/>
      </w:pPr>
      <w:rPr>
        <w:rFonts w:hint="default"/>
        <w:lang w:val="en-US" w:eastAsia="en-US" w:bidi="ar-SA"/>
      </w:rPr>
    </w:lvl>
    <w:lvl w:ilvl="6" w:tplc="BE626D2C">
      <w:numFmt w:val="bullet"/>
      <w:lvlText w:val="•"/>
      <w:lvlJc w:val="left"/>
      <w:pPr>
        <w:ind w:left="5595" w:hanging="289"/>
      </w:pPr>
      <w:rPr>
        <w:rFonts w:hint="default"/>
        <w:lang w:val="en-US" w:eastAsia="en-US" w:bidi="ar-SA"/>
      </w:rPr>
    </w:lvl>
    <w:lvl w:ilvl="7" w:tplc="C4C8D0E4">
      <w:numFmt w:val="bullet"/>
      <w:lvlText w:val="•"/>
      <w:lvlJc w:val="left"/>
      <w:pPr>
        <w:ind w:left="6454" w:hanging="289"/>
      </w:pPr>
      <w:rPr>
        <w:rFonts w:hint="default"/>
        <w:lang w:val="en-US" w:eastAsia="en-US" w:bidi="ar-SA"/>
      </w:rPr>
    </w:lvl>
    <w:lvl w:ilvl="8" w:tplc="65CEEC7E">
      <w:numFmt w:val="bullet"/>
      <w:lvlText w:val="•"/>
      <w:lvlJc w:val="left"/>
      <w:pPr>
        <w:ind w:left="7313" w:hanging="289"/>
      </w:pPr>
      <w:rPr>
        <w:rFonts w:hint="default"/>
        <w:lang w:val="en-US" w:eastAsia="en-US" w:bidi="ar-SA"/>
      </w:rPr>
    </w:lvl>
  </w:abstractNum>
  <w:abstractNum w:abstractNumId="42" w15:restartNumberingAfterBreak="0">
    <w:nsid w:val="7FC86547"/>
    <w:multiLevelType w:val="hybridMultilevel"/>
    <w:tmpl w:val="555C4258"/>
    <w:lvl w:ilvl="0" w:tplc="AA8C3618">
      <w:start w:val="1"/>
      <w:numFmt w:val="lowerRoman"/>
      <w:lvlText w:val="(%1)"/>
      <w:lvlJc w:val="left"/>
      <w:pPr>
        <w:ind w:left="1256" w:hanging="721"/>
      </w:pPr>
      <w:rPr>
        <w:spacing w:val="-6"/>
        <w:w w:val="99"/>
        <w:lang w:val="en-US" w:eastAsia="en-US" w:bidi="ar-SA"/>
      </w:rPr>
    </w:lvl>
    <w:lvl w:ilvl="1" w:tplc="8E84F41A">
      <w:start w:val="1"/>
      <w:numFmt w:val="decimal"/>
      <w:lvlText w:val="%2)"/>
      <w:lvlJc w:val="left"/>
      <w:pPr>
        <w:ind w:left="888" w:hanging="353"/>
      </w:pPr>
      <w:rPr>
        <w:rFonts w:ascii="Arial MT" w:eastAsia="Arial MT" w:hAnsi="Arial MT" w:cs="Arial MT" w:hint="default"/>
        <w:b w:val="0"/>
        <w:bCs w:val="0"/>
        <w:i w:val="0"/>
        <w:iCs w:val="0"/>
        <w:spacing w:val="-4"/>
        <w:w w:val="99"/>
        <w:sz w:val="21"/>
        <w:szCs w:val="21"/>
        <w:lang w:val="en-US" w:eastAsia="en-US" w:bidi="ar-SA"/>
      </w:rPr>
    </w:lvl>
    <w:lvl w:ilvl="2" w:tplc="1E3E9DF2">
      <w:numFmt w:val="bullet"/>
      <w:lvlText w:val="•"/>
      <w:lvlJc w:val="left"/>
      <w:pPr>
        <w:ind w:left="2159" w:hanging="353"/>
      </w:pPr>
      <w:rPr>
        <w:lang w:val="en-US" w:eastAsia="en-US" w:bidi="ar-SA"/>
      </w:rPr>
    </w:lvl>
    <w:lvl w:ilvl="3" w:tplc="E8FE1826">
      <w:numFmt w:val="bullet"/>
      <w:lvlText w:val="•"/>
      <w:lvlJc w:val="left"/>
      <w:pPr>
        <w:ind w:left="3058" w:hanging="353"/>
      </w:pPr>
      <w:rPr>
        <w:lang w:val="en-US" w:eastAsia="en-US" w:bidi="ar-SA"/>
      </w:rPr>
    </w:lvl>
    <w:lvl w:ilvl="4" w:tplc="EA729AEA">
      <w:numFmt w:val="bullet"/>
      <w:lvlText w:val="•"/>
      <w:lvlJc w:val="left"/>
      <w:pPr>
        <w:ind w:left="3958" w:hanging="353"/>
      </w:pPr>
      <w:rPr>
        <w:lang w:val="en-US" w:eastAsia="en-US" w:bidi="ar-SA"/>
      </w:rPr>
    </w:lvl>
    <w:lvl w:ilvl="5" w:tplc="6B006FA8">
      <w:numFmt w:val="bullet"/>
      <w:lvlText w:val="•"/>
      <w:lvlJc w:val="left"/>
      <w:pPr>
        <w:ind w:left="4857" w:hanging="353"/>
      </w:pPr>
      <w:rPr>
        <w:lang w:val="en-US" w:eastAsia="en-US" w:bidi="ar-SA"/>
      </w:rPr>
    </w:lvl>
    <w:lvl w:ilvl="6" w:tplc="1F348628">
      <w:numFmt w:val="bullet"/>
      <w:lvlText w:val="•"/>
      <w:lvlJc w:val="left"/>
      <w:pPr>
        <w:ind w:left="5756" w:hanging="353"/>
      </w:pPr>
      <w:rPr>
        <w:lang w:val="en-US" w:eastAsia="en-US" w:bidi="ar-SA"/>
      </w:rPr>
    </w:lvl>
    <w:lvl w:ilvl="7" w:tplc="2C8A230C">
      <w:numFmt w:val="bullet"/>
      <w:lvlText w:val="•"/>
      <w:lvlJc w:val="left"/>
      <w:pPr>
        <w:ind w:left="6656" w:hanging="353"/>
      </w:pPr>
      <w:rPr>
        <w:lang w:val="en-US" w:eastAsia="en-US" w:bidi="ar-SA"/>
      </w:rPr>
    </w:lvl>
    <w:lvl w:ilvl="8" w:tplc="EEB431BC">
      <w:numFmt w:val="bullet"/>
      <w:lvlText w:val="•"/>
      <w:lvlJc w:val="left"/>
      <w:pPr>
        <w:ind w:left="7555" w:hanging="353"/>
      </w:pPr>
      <w:rPr>
        <w:lang w:val="en-US" w:eastAsia="en-US" w:bidi="ar-SA"/>
      </w:rPr>
    </w:lvl>
  </w:abstractNum>
  <w:num w:numId="1" w16cid:durableId="697511284">
    <w:abstractNumId w:val="26"/>
  </w:num>
  <w:num w:numId="2" w16cid:durableId="121509750">
    <w:abstractNumId w:val="38"/>
  </w:num>
  <w:num w:numId="3" w16cid:durableId="787431956">
    <w:abstractNumId w:val="6"/>
  </w:num>
  <w:num w:numId="4" w16cid:durableId="53629371">
    <w:abstractNumId w:val="11"/>
  </w:num>
  <w:num w:numId="5" w16cid:durableId="191844347">
    <w:abstractNumId w:val="23"/>
  </w:num>
  <w:num w:numId="6" w16cid:durableId="1421371337">
    <w:abstractNumId w:val="8"/>
  </w:num>
  <w:num w:numId="7" w16cid:durableId="2055503258">
    <w:abstractNumId w:val="4"/>
  </w:num>
  <w:num w:numId="8" w16cid:durableId="73623970">
    <w:abstractNumId w:val="3"/>
  </w:num>
  <w:num w:numId="9" w16cid:durableId="586426595">
    <w:abstractNumId w:val="10"/>
  </w:num>
  <w:num w:numId="10" w16cid:durableId="1639845447">
    <w:abstractNumId w:val="18"/>
  </w:num>
  <w:num w:numId="11" w16cid:durableId="1134174905">
    <w:abstractNumId w:val="39"/>
  </w:num>
  <w:num w:numId="12" w16cid:durableId="669791140">
    <w:abstractNumId w:val="13"/>
  </w:num>
  <w:num w:numId="13" w16cid:durableId="136260292">
    <w:abstractNumId w:val="17"/>
  </w:num>
  <w:num w:numId="14" w16cid:durableId="244652395">
    <w:abstractNumId w:val="22"/>
  </w:num>
  <w:num w:numId="15" w16cid:durableId="409691531">
    <w:abstractNumId w:val="0"/>
  </w:num>
  <w:num w:numId="16" w16cid:durableId="1464233789">
    <w:abstractNumId w:val="12"/>
  </w:num>
  <w:num w:numId="17" w16cid:durableId="778649179">
    <w:abstractNumId w:val="41"/>
  </w:num>
  <w:num w:numId="18" w16cid:durableId="1098907779">
    <w:abstractNumId w:val="32"/>
  </w:num>
  <w:num w:numId="19" w16cid:durableId="1069502178">
    <w:abstractNumId w:val="37"/>
  </w:num>
  <w:num w:numId="20" w16cid:durableId="389965854">
    <w:abstractNumId w:val="31"/>
  </w:num>
  <w:num w:numId="21" w16cid:durableId="615527897">
    <w:abstractNumId w:val="40"/>
  </w:num>
  <w:num w:numId="22" w16cid:durableId="1254556176">
    <w:abstractNumId w:val="36"/>
  </w:num>
  <w:num w:numId="23" w16cid:durableId="290400183">
    <w:abstractNumId w:val="1"/>
  </w:num>
  <w:num w:numId="24" w16cid:durableId="499925807">
    <w:abstractNumId w:val="5"/>
  </w:num>
  <w:num w:numId="25" w16cid:durableId="1422067455">
    <w:abstractNumId w:val="9"/>
  </w:num>
  <w:num w:numId="26" w16cid:durableId="95949594">
    <w:abstractNumId w:val="28"/>
  </w:num>
  <w:num w:numId="27" w16cid:durableId="1785346669">
    <w:abstractNumId w:val="16"/>
  </w:num>
  <w:num w:numId="28" w16cid:durableId="956065136">
    <w:abstractNumId w:val="27"/>
  </w:num>
  <w:num w:numId="29" w16cid:durableId="1197696978">
    <w:abstractNumId w:val="14"/>
  </w:num>
  <w:num w:numId="30" w16cid:durableId="1939411358">
    <w:abstractNumId w:val="29"/>
  </w:num>
  <w:num w:numId="31" w16cid:durableId="1289622671">
    <w:abstractNumId w:val="34"/>
  </w:num>
  <w:num w:numId="32" w16cid:durableId="1472476753">
    <w:abstractNumId w:val="7"/>
  </w:num>
  <w:num w:numId="33" w16cid:durableId="1060252465">
    <w:abstractNumId w:val="21"/>
  </w:num>
  <w:num w:numId="34" w16cid:durableId="1887329637">
    <w:abstractNumId w:val="35"/>
  </w:num>
  <w:num w:numId="35" w16cid:durableId="1570070524">
    <w:abstractNumId w:val="20"/>
  </w:num>
  <w:num w:numId="36" w16cid:durableId="193925240">
    <w:abstractNumId w:val="19"/>
  </w:num>
  <w:num w:numId="37" w16cid:durableId="621301072">
    <w:abstractNumId w:val="25"/>
  </w:num>
  <w:num w:numId="38" w16cid:durableId="2104839995">
    <w:abstractNumId w:val="24"/>
  </w:num>
  <w:num w:numId="39" w16cid:durableId="1766222515">
    <w:abstractNumId w:val="15"/>
  </w:num>
  <w:num w:numId="40" w16cid:durableId="736634096">
    <w:abstractNumId w:val="2"/>
  </w:num>
  <w:num w:numId="41" w16cid:durableId="235283083">
    <w:abstractNumId w:val="30"/>
  </w:num>
  <w:num w:numId="42" w16cid:durableId="799953060">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43" w16cid:durableId="1889494030">
    <w:abstractNumId w:val="33"/>
    <w:lvlOverride w:ilvl="0"/>
    <w:lvlOverride w:ilvl="1"/>
    <w:lvlOverride w:ilvl="2"/>
    <w:lvlOverride w:ilvl="3"/>
    <w:lvlOverride w:ilvl="4"/>
    <w:lvlOverride w:ilvl="5"/>
    <w:lvlOverride w:ilvl="6"/>
    <w:lvlOverride w:ilvl="7"/>
    <w:lvlOverride w:ilvl="8"/>
  </w:num>
  <w:num w:numId="44" w16cid:durableId="47619232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90"/>
    <w:rsid w:val="00001809"/>
    <w:rsid w:val="00001C71"/>
    <w:rsid w:val="000033BD"/>
    <w:rsid w:val="0004755B"/>
    <w:rsid w:val="000534E8"/>
    <w:rsid w:val="00080FFE"/>
    <w:rsid w:val="000955C8"/>
    <w:rsid w:val="000A0FFC"/>
    <w:rsid w:val="000A1199"/>
    <w:rsid w:val="000A5B09"/>
    <w:rsid w:val="000C72D0"/>
    <w:rsid w:val="000D0834"/>
    <w:rsid w:val="000D600A"/>
    <w:rsid w:val="000E3B35"/>
    <w:rsid w:val="000F22AD"/>
    <w:rsid w:val="000F5385"/>
    <w:rsid w:val="0010558E"/>
    <w:rsid w:val="001077EF"/>
    <w:rsid w:val="00123557"/>
    <w:rsid w:val="00132778"/>
    <w:rsid w:val="00150058"/>
    <w:rsid w:val="00155026"/>
    <w:rsid w:val="00155292"/>
    <w:rsid w:val="001613E6"/>
    <w:rsid w:val="00196C31"/>
    <w:rsid w:val="001A0CFC"/>
    <w:rsid w:val="001C2400"/>
    <w:rsid w:val="001C48F2"/>
    <w:rsid w:val="0020000D"/>
    <w:rsid w:val="0021162C"/>
    <w:rsid w:val="00216583"/>
    <w:rsid w:val="002576CD"/>
    <w:rsid w:val="00281BD0"/>
    <w:rsid w:val="002964DA"/>
    <w:rsid w:val="002A0261"/>
    <w:rsid w:val="002A47D0"/>
    <w:rsid w:val="002D53CA"/>
    <w:rsid w:val="00305BF5"/>
    <w:rsid w:val="003578D3"/>
    <w:rsid w:val="00364F48"/>
    <w:rsid w:val="003660FE"/>
    <w:rsid w:val="003870B2"/>
    <w:rsid w:val="00387294"/>
    <w:rsid w:val="003A08F1"/>
    <w:rsid w:val="003A4D3F"/>
    <w:rsid w:val="003C03A9"/>
    <w:rsid w:val="003D32AB"/>
    <w:rsid w:val="003D6A92"/>
    <w:rsid w:val="003E0C33"/>
    <w:rsid w:val="00402458"/>
    <w:rsid w:val="00411BFA"/>
    <w:rsid w:val="004539DD"/>
    <w:rsid w:val="00454873"/>
    <w:rsid w:val="00457512"/>
    <w:rsid w:val="00495B96"/>
    <w:rsid w:val="004C2D59"/>
    <w:rsid w:val="00547A75"/>
    <w:rsid w:val="00561E64"/>
    <w:rsid w:val="00597993"/>
    <w:rsid w:val="005A69EB"/>
    <w:rsid w:val="005B4E6D"/>
    <w:rsid w:val="005D3919"/>
    <w:rsid w:val="005D7AED"/>
    <w:rsid w:val="005E3B7D"/>
    <w:rsid w:val="00606D6C"/>
    <w:rsid w:val="0062640E"/>
    <w:rsid w:val="00630320"/>
    <w:rsid w:val="006453CB"/>
    <w:rsid w:val="00652CB1"/>
    <w:rsid w:val="006543CD"/>
    <w:rsid w:val="00670F98"/>
    <w:rsid w:val="00672B4E"/>
    <w:rsid w:val="006A59AF"/>
    <w:rsid w:val="006B38D1"/>
    <w:rsid w:val="006B6048"/>
    <w:rsid w:val="006D6694"/>
    <w:rsid w:val="006E5E79"/>
    <w:rsid w:val="006F0886"/>
    <w:rsid w:val="007007EE"/>
    <w:rsid w:val="0077469A"/>
    <w:rsid w:val="00777F7A"/>
    <w:rsid w:val="007A7C25"/>
    <w:rsid w:val="007B1A84"/>
    <w:rsid w:val="007B4064"/>
    <w:rsid w:val="007C0D04"/>
    <w:rsid w:val="008043D2"/>
    <w:rsid w:val="008054B3"/>
    <w:rsid w:val="00807579"/>
    <w:rsid w:val="00811232"/>
    <w:rsid w:val="0086650C"/>
    <w:rsid w:val="00867EF4"/>
    <w:rsid w:val="008D670F"/>
    <w:rsid w:val="008E2E8B"/>
    <w:rsid w:val="008F3E58"/>
    <w:rsid w:val="00916991"/>
    <w:rsid w:val="00935CAC"/>
    <w:rsid w:val="009473E7"/>
    <w:rsid w:val="0096304E"/>
    <w:rsid w:val="0097715E"/>
    <w:rsid w:val="009866DC"/>
    <w:rsid w:val="009B73BA"/>
    <w:rsid w:val="009C7D71"/>
    <w:rsid w:val="00A05E4E"/>
    <w:rsid w:val="00A26B69"/>
    <w:rsid w:val="00A32633"/>
    <w:rsid w:val="00A41DA1"/>
    <w:rsid w:val="00A75996"/>
    <w:rsid w:val="00A96ECB"/>
    <w:rsid w:val="00AA384B"/>
    <w:rsid w:val="00AE30D6"/>
    <w:rsid w:val="00B15173"/>
    <w:rsid w:val="00B35364"/>
    <w:rsid w:val="00B45090"/>
    <w:rsid w:val="00B70EFD"/>
    <w:rsid w:val="00BA0582"/>
    <w:rsid w:val="00BA700B"/>
    <w:rsid w:val="00BE514B"/>
    <w:rsid w:val="00C12F9B"/>
    <w:rsid w:val="00C148A5"/>
    <w:rsid w:val="00C1716A"/>
    <w:rsid w:val="00C20FB3"/>
    <w:rsid w:val="00C23E2B"/>
    <w:rsid w:val="00C27E92"/>
    <w:rsid w:val="00C35ED0"/>
    <w:rsid w:val="00C62D90"/>
    <w:rsid w:val="00CA0349"/>
    <w:rsid w:val="00CA6DBD"/>
    <w:rsid w:val="00CC5B51"/>
    <w:rsid w:val="00CC7ABE"/>
    <w:rsid w:val="00CE1DC5"/>
    <w:rsid w:val="00D00969"/>
    <w:rsid w:val="00D27B95"/>
    <w:rsid w:val="00D4056A"/>
    <w:rsid w:val="00D475A8"/>
    <w:rsid w:val="00DA6777"/>
    <w:rsid w:val="00DB306F"/>
    <w:rsid w:val="00DD7CF9"/>
    <w:rsid w:val="00DF5020"/>
    <w:rsid w:val="00E006D5"/>
    <w:rsid w:val="00E109A2"/>
    <w:rsid w:val="00E16E6C"/>
    <w:rsid w:val="00E231C3"/>
    <w:rsid w:val="00E37F8E"/>
    <w:rsid w:val="00E84789"/>
    <w:rsid w:val="00EA0D34"/>
    <w:rsid w:val="00ED02D8"/>
    <w:rsid w:val="00ED5D37"/>
    <w:rsid w:val="00F000B6"/>
    <w:rsid w:val="00F5130F"/>
    <w:rsid w:val="00F86A5F"/>
    <w:rsid w:val="00FA0279"/>
    <w:rsid w:val="00FC2FCC"/>
    <w:rsid w:val="00FC483C"/>
    <w:rsid w:val="00FC486F"/>
    <w:rsid w:val="00FF095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D2821"/>
  <w15:docId w15:val="{D4C0A877-13B6-4AD5-B12F-2F0A8CBB6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14"/>
      <w:ind w:left="378" w:hanging="353"/>
      <w:outlineLvl w:val="0"/>
    </w:pPr>
    <w:rPr>
      <w:rFonts w:ascii="Calibri" w:eastAsia="Calibri" w:hAnsi="Calibri" w:cs="Calibri"/>
      <w:sz w:val="29"/>
    </w:rPr>
  </w:style>
  <w:style w:type="paragraph" w:styleId="Heading2">
    <w:name w:val="heading 2"/>
    <w:basedOn w:val="Normal"/>
    <w:uiPriority w:val="9"/>
    <w:unhideWhenUsed/>
    <w:qFormat/>
    <w:pPr>
      <w:ind w:left="392" w:hanging="367"/>
      <w:outlineLvl w:val="1"/>
    </w:pPr>
    <w:rPr>
      <w:rFonts w:ascii="Arial" w:eastAsia="Arial" w:hAnsi="Arial" w:cs="Arial"/>
      <w:b/>
      <w:sz w:val="24"/>
    </w:rPr>
  </w:style>
  <w:style w:type="paragraph" w:styleId="Heading3">
    <w:name w:val="heading 3"/>
    <w:basedOn w:val="Normal"/>
    <w:uiPriority w:val="9"/>
    <w:unhideWhenUsed/>
    <w:qFormat/>
    <w:pPr>
      <w:spacing w:before="1"/>
      <w:ind w:left="25" w:hanging="307"/>
      <w:outlineLvl w:val="2"/>
    </w:pPr>
    <w:rPr>
      <w:rFonts w:ascii="Calibri" w:eastAsia="Calibri" w:hAnsi="Calibri" w:cs="Calibri"/>
      <w:sz w:val="24"/>
    </w:rPr>
  </w:style>
  <w:style w:type="paragraph" w:styleId="Heading4">
    <w:name w:val="heading 4"/>
    <w:basedOn w:val="Normal"/>
    <w:uiPriority w:val="9"/>
    <w:unhideWhenUsed/>
    <w:qFormat/>
    <w:pPr>
      <w:ind w:left="601" w:hanging="576"/>
      <w:outlineLvl w:val="3"/>
    </w:pPr>
    <w:rPr>
      <w:rFonts w:ascii="Arial" w:eastAsia="Arial" w:hAnsi="Arial" w:cs="Arial"/>
      <w:b/>
    </w:rPr>
  </w:style>
  <w:style w:type="paragraph" w:styleId="Heading5">
    <w:name w:val="heading 5"/>
    <w:basedOn w:val="Normal"/>
    <w:uiPriority w:val="9"/>
    <w:unhideWhenUsed/>
    <w:qFormat/>
    <w:pPr>
      <w:ind w:left="745" w:hanging="720"/>
      <w:outlineLvl w:val="4"/>
    </w:pPr>
  </w:style>
  <w:style w:type="paragraph" w:styleId="Heading6">
    <w:name w:val="heading 6"/>
    <w:basedOn w:val="Normal"/>
    <w:uiPriority w:val="9"/>
    <w:unhideWhenUsed/>
    <w:qFormat/>
    <w:pPr>
      <w:ind w:left="392" w:hanging="367"/>
      <w:outlineLvl w:val="5"/>
    </w:pPr>
    <w:rPr>
      <w:rFonts w:ascii="Arial" w:eastAsia="Arial" w:hAnsi="Arial" w:cs="Arial"/>
      <w:b/>
      <w:sz w:val="21"/>
      <w:u w:val="single" w:color="000000"/>
    </w:rPr>
  </w:style>
  <w:style w:type="paragraph" w:styleId="Heading7">
    <w:name w:val="heading 7"/>
    <w:basedOn w:val="Normal"/>
    <w:uiPriority w:val="1"/>
    <w:qFormat/>
    <w:pPr>
      <w:ind w:left="25"/>
      <w:outlineLvl w:val="6"/>
    </w:pPr>
    <w:rPr>
      <w:rFonts w:ascii="Arial" w:eastAsia="Arial" w:hAnsi="Arial" w:cs="Arial"/>
      <w:b/>
      <w:i/>
      <w:sz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1"/>
    <w:qFormat/>
    <w:pPr>
      <w:spacing w:before="119"/>
      <w:ind w:left="425" w:hanging="400"/>
    </w:pPr>
    <w:rPr>
      <w:sz w:val="21"/>
    </w:rPr>
  </w:style>
  <w:style w:type="paragraph" w:styleId="TOC2">
    <w:name w:val="toc 2"/>
    <w:basedOn w:val="Normal"/>
    <w:uiPriority w:val="1"/>
    <w:qFormat/>
    <w:pPr>
      <w:spacing w:before="157"/>
      <w:ind w:left="745" w:hanging="512"/>
    </w:pPr>
    <w:rPr>
      <w:sz w:val="17"/>
    </w:rPr>
  </w:style>
  <w:style w:type="paragraph" w:styleId="TOC3">
    <w:name w:val="toc 3"/>
    <w:basedOn w:val="Normal"/>
    <w:uiPriority w:val="1"/>
    <w:qFormat/>
    <w:pPr>
      <w:spacing w:before="143"/>
      <w:ind w:left="1130" w:hanging="705"/>
    </w:pPr>
    <w:rPr>
      <w:sz w:val="21"/>
    </w:rPr>
  </w:style>
  <w:style w:type="paragraph" w:styleId="BodyText">
    <w:name w:val="Body Text"/>
    <w:basedOn w:val="Normal"/>
    <w:link w:val="BodyTextChar"/>
    <w:uiPriority w:val="1"/>
    <w:qFormat/>
    <w:rPr>
      <w:sz w:val="21"/>
    </w:rPr>
  </w:style>
  <w:style w:type="paragraph" w:styleId="Title">
    <w:name w:val="Title"/>
    <w:basedOn w:val="Normal"/>
    <w:uiPriority w:val="10"/>
    <w:qFormat/>
    <w:pPr>
      <w:spacing w:before="1"/>
      <w:ind w:left="25"/>
    </w:pPr>
    <w:rPr>
      <w:rFonts w:ascii="Arial" w:eastAsia="Arial" w:hAnsi="Arial" w:cs="Arial"/>
      <w:b/>
      <w:sz w:val="48"/>
    </w:rPr>
  </w:style>
  <w:style w:type="paragraph" w:styleId="ListParagraph">
    <w:name w:val="List Paragraph"/>
    <w:basedOn w:val="Normal"/>
    <w:uiPriority w:val="1"/>
    <w:qFormat/>
    <w:pPr>
      <w:ind w:left="393" w:hanging="369"/>
      <w:jc w:val="both"/>
    </w:pPr>
  </w:style>
  <w:style w:type="paragraph" w:customStyle="1" w:styleId="TableParagraph">
    <w:name w:val="Table Paragraph"/>
    <w:basedOn w:val="Normal"/>
    <w:uiPriority w:val="1"/>
    <w:qFormat/>
  </w:style>
  <w:style w:type="paragraph" w:customStyle="1" w:styleId="P68B1DB1-a1">
    <w:name w:val="P68B1DB1-a1"/>
    <w:basedOn w:val="Normal"/>
    <w:rPr>
      <w:rFonts w:ascii="Times New Roman"/>
      <w:sz w:val="20"/>
    </w:rPr>
  </w:style>
  <w:style w:type="paragraph" w:customStyle="1" w:styleId="P68B1DB1-TableParagraph2">
    <w:name w:val="P68B1DB1-TableParagraph2"/>
    <w:basedOn w:val="TableParagraph"/>
    <w:rPr>
      <w:sz w:val="21"/>
    </w:rPr>
  </w:style>
  <w:style w:type="paragraph" w:customStyle="1" w:styleId="P68B1DB1-TableParagraph3">
    <w:name w:val="P68B1DB1-TableParagraph3"/>
    <w:basedOn w:val="TableParagraph"/>
    <w:rPr>
      <w:rFonts w:ascii="Arial"/>
      <w:b/>
      <w:sz w:val="21"/>
    </w:rPr>
  </w:style>
  <w:style w:type="paragraph" w:customStyle="1" w:styleId="P68B1DB1-a34">
    <w:name w:val="P68B1DB1-a34"/>
    <w:basedOn w:val="BodyText"/>
    <w:rPr>
      <w:rFonts w:ascii="Arial"/>
      <w:b/>
      <w:sz w:val="20"/>
    </w:rPr>
  </w:style>
  <w:style w:type="paragraph" w:customStyle="1" w:styleId="P68B1DB1-a35">
    <w:name w:val="P68B1DB1-a35"/>
    <w:basedOn w:val="BodyText"/>
    <w:rPr>
      <w:sz w:val="2"/>
    </w:rPr>
  </w:style>
  <w:style w:type="paragraph" w:customStyle="1" w:styleId="P68B1DB1-a6">
    <w:name w:val="P68B1DB1-a6"/>
    <w:basedOn w:val="Normal"/>
    <w:rPr>
      <w:rFonts w:ascii="Arial"/>
      <w:b/>
      <w:sz w:val="21"/>
    </w:rPr>
  </w:style>
  <w:style w:type="paragraph" w:customStyle="1" w:styleId="P68B1DB1-a57">
    <w:name w:val="P68B1DB1-a57"/>
    <w:basedOn w:val="ListParagraph"/>
    <w:rPr>
      <w:rFonts w:ascii="Arial"/>
      <w:i/>
      <w:sz w:val="21"/>
    </w:rPr>
  </w:style>
  <w:style w:type="paragraph" w:customStyle="1" w:styleId="P68B1DB1-a58">
    <w:name w:val="P68B1DB1-a58"/>
    <w:basedOn w:val="ListParagraph"/>
    <w:rPr>
      <w:sz w:val="21"/>
    </w:rPr>
  </w:style>
  <w:style w:type="paragraph" w:customStyle="1" w:styleId="P68B1DB1-69">
    <w:name w:val="P68B1DB1-69"/>
    <w:basedOn w:val="Heading6"/>
    <w:rPr>
      <w:u w:val="none"/>
    </w:rPr>
  </w:style>
  <w:style w:type="paragraph" w:customStyle="1" w:styleId="P68B1DB1-a310">
    <w:name w:val="P68B1DB1-a310"/>
    <w:basedOn w:val="BodyText"/>
    <w:rPr>
      <w:sz w:val="14"/>
    </w:rPr>
  </w:style>
  <w:style w:type="paragraph" w:customStyle="1" w:styleId="P68B1DB1-a311">
    <w:name w:val="P68B1DB1-a311"/>
    <w:basedOn w:val="BodyText"/>
    <w:rPr>
      <w:sz w:val="20"/>
    </w:rPr>
  </w:style>
  <w:style w:type="paragraph" w:customStyle="1" w:styleId="P68B1DB1-a12">
    <w:name w:val="P68B1DB1-a12"/>
    <w:basedOn w:val="Normal"/>
    <w:rPr>
      <w:rFonts w:ascii="Arial"/>
      <w:b/>
      <w:sz w:val="17"/>
    </w:rPr>
  </w:style>
  <w:style w:type="paragraph" w:customStyle="1" w:styleId="P68B1DB1-TableParagraph13">
    <w:name w:val="P68B1DB1-TableParagraph13"/>
    <w:basedOn w:val="TableParagraph"/>
    <w:rPr>
      <w:sz w:val="17"/>
    </w:rPr>
  </w:style>
  <w:style w:type="paragraph" w:customStyle="1" w:styleId="P68B1DB1-TableParagraph14">
    <w:name w:val="P68B1DB1-TableParagraph14"/>
    <w:basedOn w:val="TableParagraph"/>
    <w:rPr>
      <w:rFonts w:ascii="Arial"/>
      <w:b/>
      <w:i/>
      <w:sz w:val="17"/>
    </w:rPr>
  </w:style>
  <w:style w:type="paragraph" w:customStyle="1" w:styleId="P68B1DB1-TableParagraph15">
    <w:name w:val="P68B1DB1-TableParagraph15"/>
    <w:basedOn w:val="TableParagraph"/>
    <w:rPr>
      <w:rFonts w:ascii="Arial"/>
      <w:b/>
      <w:sz w:val="17"/>
    </w:rPr>
  </w:style>
  <w:style w:type="paragraph" w:customStyle="1" w:styleId="P68B1DB1-a16">
    <w:name w:val="P68B1DB1-a16"/>
    <w:basedOn w:val="Normal"/>
    <w:rPr>
      <w:color w:val="0000FF"/>
      <w:sz w:val="17"/>
      <w:u w:val="single" w:color="0000FF"/>
    </w:rPr>
  </w:style>
  <w:style w:type="paragraph" w:customStyle="1" w:styleId="P68B1DB1-a17">
    <w:name w:val="P68B1DB1-a17"/>
    <w:basedOn w:val="Normal"/>
    <w:rPr>
      <w:sz w:val="17"/>
    </w:rPr>
  </w:style>
  <w:style w:type="paragraph" w:customStyle="1" w:styleId="P68B1DB1-TableParagraph18">
    <w:name w:val="P68B1DB1-TableParagraph18"/>
    <w:basedOn w:val="TableParagraph"/>
    <w:rPr>
      <w:rFonts w:ascii="Arial" w:hAnsi="Arial"/>
      <w:i/>
      <w:sz w:val="17"/>
    </w:rPr>
  </w:style>
  <w:style w:type="paragraph" w:customStyle="1" w:styleId="P68B1DB1-TableParagraph19">
    <w:name w:val="P68B1DB1-TableParagraph19"/>
    <w:basedOn w:val="TableParagraph"/>
    <w:rPr>
      <w:rFonts w:ascii="Arial" w:hAnsi="Arial"/>
      <w:i/>
    </w:rPr>
  </w:style>
  <w:style w:type="paragraph" w:customStyle="1" w:styleId="P68B1DB1-TableParagraph20">
    <w:name w:val="P68B1DB1-TableParagraph20"/>
    <w:basedOn w:val="TableParagraph"/>
    <w:rPr>
      <w:rFonts w:ascii="Arial"/>
      <w:i/>
      <w:sz w:val="17"/>
    </w:rPr>
  </w:style>
  <w:style w:type="paragraph" w:customStyle="1" w:styleId="P68B1DB1-a321">
    <w:name w:val="P68B1DB1-a321"/>
    <w:basedOn w:val="BodyText"/>
    <w:rPr>
      <w:rFonts w:ascii="Arial"/>
      <w:i/>
      <w:sz w:val="20"/>
    </w:rPr>
  </w:style>
  <w:style w:type="paragraph" w:customStyle="1" w:styleId="P68B1DB1-a22">
    <w:name w:val="P68B1DB1-a22"/>
    <w:basedOn w:val="Normal"/>
    <w:rPr>
      <w:rFonts w:ascii="Arial" w:hAnsi="Arial"/>
      <w:i/>
      <w:sz w:val="17"/>
    </w:rPr>
  </w:style>
  <w:style w:type="paragraph" w:customStyle="1" w:styleId="P68B1DB1-a523">
    <w:name w:val="P68B1DB1-a523"/>
    <w:basedOn w:val="ListParagraph"/>
    <w:rPr>
      <w:rFonts w:ascii="Arial"/>
      <w:i/>
      <w:sz w:val="17"/>
    </w:rPr>
  </w:style>
  <w:style w:type="paragraph" w:customStyle="1" w:styleId="P68B1DB1-a24">
    <w:name w:val="P68B1DB1-a24"/>
    <w:basedOn w:val="Normal"/>
    <w:rPr>
      <w:rFonts w:ascii="Arial"/>
      <w:i/>
      <w:sz w:val="17"/>
    </w:rPr>
  </w:style>
  <w:style w:type="paragraph" w:customStyle="1" w:styleId="P68B1DB1-a25">
    <w:name w:val="P68B1DB1-a25"/>
    <w:basedOn w:val="Normal"/>
    <w:rPr>
      <w:rFonts w:ascii="Arial" w:hAnsi="Arial"/>
      <w:i/>
      <w:sz w:val="21"/>
    </w:rPr>
  </w:style>
  <w:style w:type="paragraph" w:customStyle="1" w:styleId="P68B1DB1-TableParagraph26">
    <w:name w:val="P68B1DB1-TableParagraph26"/>
    <w:basedOn w:val="TableParagraph"/>
    <w:rPr>
      <w:sz w:val="2"/>
    </w:rPr>
  </w:style>
  <w:style w:type="paragraph" w:customStyle="1" w:styleId="P68B1DB1-a527">
    <w:name w:val="P68B1DB1-a527"/>
    <w:basedOn w:val="ListParagraph"/>
    <w:rPr>
      <w:sz w:val="17"/>
    </w:rPr>
  </w:style>
  <w:style w:type="paragraph" w:customStyle="1" w:styleId="P68B1DB1-TableParagraph28">
    <w:name w:val="P68B1DB1-TableParagraph28"/>
    <w:basedOn w:val="TableParagraph"/>
    <w:rPr>
      <w:rFonts w:ascii="Arial" w:hAnsi="Arial"/>
      <w:b/>
      <w:color w:val="76923B"/>
      <w:sz w:val="17"/>
    </w:rPr>
  </w:style>
  <w:style w:type="paragraph" w:customStyle="1" w:styleId="P68B1DB1-TableParagraph29">
    <w:name w:val="P68B1DB1-TableParagraph29"/>
    <w:basedOn w:val="TableParagraph"/>
    <w:rPr>
      <w:color w:val="C00000"/>
      <w:sz w:val="17"/>
    </w:rPr>
  </w:style>
  <w:style w:type="paragraph" w:customStyle="1" w:styleId="P68B1DB1-a530">
    <w:name w:val="P68B1DB1-a530"/>
    <w:basedOn w:val="ListParagraph"/>
    <w:rPr>
      <w:rFonts w:ascii="Arial" w:hAnsi="Arial"/>
      <w:i/>
      <w:sz w:val="17"/>
    </w:rPr>
  </w:style>
  <w:style w:type="paragraph" w:customStyle="1" w:styleId="P68B1DB1-231">
    <w:name w:val="P68B1DB1-231"/>
    <w:basedOn w:val="Heading2"/>
    <w:rPr>
      <w:color w:val="E26C09"/>
    </w:rPr>
  </w:style>
  <w:style w:type="paragraph" w:customStyle="1" w:styleId="P68B1DB1-332">
    <w:name w:val="P68B1DB1-332"/>
    <w:basedOn w:val="Heading3"/>
    <w:rPr>
      <w:smallCaps/>
      <w:color w:val="006FC0"/>
    </w:rPr>
  </w:style>
  <w:style w:type="paragraph" w:customStyle="1" w:styleId="P68B1DB1-a333">
    <w:name w:val="P68B1DB1-a333"/>
    <w:basedOn w:val="BodyText"/>
    <w:rPr>
      <w:rFonts w:ascii="Calibri"/>
      <w:sz w:val="5"/>
    </w:rPr>
  </w:style>
  <w:style w:type="paragraph" w:customStyle="1" w:styleId="P68B1DB1-a334">
    <w:name w:val="P68B1DB1-a334"/>
    <w:basedOn w:val="BodyText"/>
    <w:rPr>
      <w:u w:val="single"/>
    </w:rPr>
  </w:style>
  <w:style w:type="paragraph" w:customStyle="1" w:styleId="P68B1DB1-a535">
    <w:name w:val="P68B1DB1-a535"/>
    <w:basedOn w:val="ListParagraph"/>
    <w:rPr>
      <w:rFonts w:ascii="Calibri"/>
      <w:color w:val="006FC0"/>
    </w:rPr>
  </w:style>
  <w:style w:type="paragraph" w:customStyle="1" w:styleId="P68B1DB1-a336">
    <w:name w:val="P68B1DB1-a336"/>
    <w:basedOn w:val="BodyText"/>
    <w:rPr>
      <w:rFonts w:ascii="Calibri"/>
      <w:sz w:val="6"/>
    </w:rPr>
  </w:style>
  <w:style w:type="paragraph" w:customStyle="1" w:styleId="P68B1DB1-137">
    <w:name w:val="P68B1DB1-137"/>
    <w:basedOn w:val="Heading1"/>
    <w:rPr>
      <w:smallCaps/>
      <w:color w:val="006FC0"/>
    </w:rPr>
  </w:style>
  <w:style w:type="paragraph" w:customStyle="1" w:styleId="P68B1DB1-a338">
    <w:name w:val="P68B1DB1-a338"/>
    <w:basedOn w:val="BodyText"/>
    <w:rPr>
      <w:rFonts w:ascii="Calibri"/>
      <w:sz w:val="4"/>
    </w:rPr>
  </w:style>
  <w:style w:type="paragraph" w:customStyle="1" w:styleId="P68B1DB1-a39">
    <w:name w:val="P68B1DB1-a39"/>
    <w:basedOn w:val="Normal"/>
    <w:rPr>
      <w:rFonts w:ascii="Arial"/>
      <w:i/>
      <w:sz w:val="21"/>
    </w:rPr>
  </w:style>
  <w:style w:type="paragraph" w:customStyle="1" w:styleId="P68B1DB1-a540">
    <w:name w:val="P68B1DB1-a540"/>
    <w:basedOn w:val="ListParagraph"/>
    <w:rPr>
      <w:rFonts w:ascii="Arial" w:hAnsi="Arial"/>
      <w:i/>
      <w:sz w:val="21"/>
    </w:rPr>
  </w:style>
  <w:style w:type="paragraph" w:customStyle="1" w:styleId="P68B1DB1-a341">
    <w:name w:val="P68B1DB1-a341"/>
    <w:basedOn w:val="BodyText"/>
    <w:rPr>
      <w:rFonts w:ascii="Arial"/>
      <w:sz w:val="20"/>
    </w:rPr>
  </w:style>
  <w:style w:type="paragraph" w:customStyle="1" w:styleId="P68B1DB1-a42">
    <w:name w:val="P68B1DB1-a42"/>
    <w:basedOn w:val="Normal"/>
    <w:rPr>
      <w:rFonts w:ascii="Arial"/>
      <w:i/>
      <w:color w:val="002E67"/>
      <w:sz w:val="21"/>
      <w:u w:val="single" w:color="002E67"/>
    </w:rPr>
  </w:style>
  <w:style w:type="paragraph" w:customStyle="1" w:styleId="P68B1DB1-a343">
    <w:name w:val="P68B1DB1-a343"/>
    <w:basedOn w:val="BodyText"/>
    <w:rPr>
      <w:rFonts w:ascii="Arial"/>
      <w:i/>
      <w:sz w:val="17"/>
    </w:rPr>
  </w:style>
  <w:style w:type="character" w:styleId="Hyperlink">
    <w:name w:val="Hyperlink"/>
    <w:basedOn w:val="DefaultParagraphFont"/>
    <w:uiPriority w:val="99"/>
    <w:unhideWhenUsed/>
    <w:rsid w:val="00FC2FCC"/>
    <w:rPr>
      <w:color w:val="0000FF" w:themeColor="hyperlink"/>
      <w:u w:val="single"/>
    </w:rPr>
  </w:style>
  <w:style w:type="character" w:styleId="UnresolvedMention">
    <w:name w:val="Unresolved Mention"/>
    <w:basedOn w:val="DefaultParagraphFont"/>
    <w:uiPriority w:val="99"/>
    <w:semiHidden/>
    <w:unhideWhenUsed/>
    <w:rsid w:val="00FC2FCC"/>
    <w:rPr>
      <w:color w:val="605E5C"/>
      <w:shd w:val="clear" w:color="auto" w:fill="E1DFDD"/>
    </w:rPr>
  </w:style>
  <w:style w:type="character" w:customStyle="1" w:styleId="BodyTextChar">
    <w:name w:val="Body Text Char"/>
    <w:basedOn w:val="DefaultParagraphFont"/>
    <w:link w:val="BodyText"/>
    <w:uiPriority w:val="1"/>
    <w:rsid w:val="00A75996"/>
    <w:rPr>
      <w:rFonts w:ascii="Arial MT" w:eastAsia="Arial MT" w:hAnsi="Arial MT" w:cs="Arial MT"/>
      <w:sz w:val="21"/>
    </w:rPr>
  </w:style>
  <w:style w:type="paragraph" w:styleId="FootnoteText">
    <w:name w:val="footnote text"/>
    <w:basedOn w:val="Normal"/>
    <w:link w:val="FootnoteTextChar"/>
    <w:uiPriority w:val="99"/>
    <w:semiHidden/>
    <w:unhideWhenUsed/>
    <w:rsid w:val="00080FFE"/>
    <w:rPr>
      <w:sz w:val="20"/>
    </w:rPr>
  </w:style>
  <w:style w:type="character" w:customStyle="1" w:styleId="FootnoteTextChar">
    <w:name w:val="Footnote Text Char"/>
    <w:basedOn w:val="DefaultParagraphFont"/>
    <w:link w:val="FootnoteText"/>
    <w:uiPriority w:val="99"/>
    <w:semiHidden/>
    <w:rsid w:val="00080FFE"/>
    <w:rPr>
      <w:rFonts w:ascii="Arial MT" w:eastAsia="Arial MT" w:hAnsi="Arial MT" w:cs="Arial MT"/>
      <w:sz w:val="20"/>
    </w:rPr>
  </w:style>
  <w:style w:type="character" w:styleId="FootnoteReference">
    <w:name w:val="footnote reference"/>
    <w:basedOn w:val="DefaultParagraphFont"/>
    <w:uiPriority w:val="99"/>
    <w:semiHidden/>
    <w:unhideWhenUsed/>
    <w:rsid w:val="00080F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7473">
      <w:bodyDiv w:val="1"/>
      <w:marLeft w:val="0"/>
      <w:marRight w:val="0"/>
      <w:marTop w:val="0"/>
      <w:marBottom w:val="0"/>
      <w:divBdr>
        <w:top w:val="none" w:sz="0" w:space="0" w:color="auto"/>
        <w:left w:val="none" w:sz="0" w:space="0" w:color="auto"/>
        <w:bottom w:val="none" w:sz="0" w:space="0" w:color="auto"/>
        <w:right w:val="none" w:sz="0" w:space="0" w:color="auto"/>
      </w:divBdr>
    </w:div>
    <w:div w:id="229117505">
      <w:bodyDiv w:val="1"/>
      <w:marLeft w:val="0"/>
      <w:marRight w:val="0"/>
      <w:marTop w:val="0"/>
      <w:marBottom w:val="0"/>
      <w:divBdr>
        <w:top w:val="none" w:sz="0" w:space="0" w:color="auto"/>
        <w:left w:val="none" w:sz="0" w:space="0" w:color="auto"/>
        <w:bottom w:val="none" w:sz="0" w:space="0" w:color="auto"/>
        <w:right w:val="none" w:sz="0" w:space="0" w:color="auto"/>
      </w:divBdr>
    </w:div>
    <w:div w:id="788207404">
      <w:bodyDiv w:val="1"/>
      <w:marLeft w:val="0"/>
      <w:marRight w:val="0"/>
      <w:marTop w:val="0"/>
      <w:marBottom w:val="0"/>
      <w:divBdr>
        <w:top w:val="none" w:sz="0" w:space="0" w:color="auto"/>
        <w:left w:val="none" w:sz="0" w:space="0" w:color="auto"/>
        <w:bottom w:val="none" w:sz="0" w:space="0" w:color="auto"/>
        <w:right w:val="none" w:sz="0" w:space="0" w:color="auto"/>
      </w:divBdr>
    </w:div>
    <w:div w:id="825778281">
      <w:bodyDiv w:val="1"/>
      <w:marLeft w:val="0"/>
      <w:marRight w:val="0"/>
      <w:marTop w:val="0"/>
      <w:marBottom w:val="0"/>
      <w:divBdr>
        <w:top w:val="none" w:sz="0" w:space="0" w:color="auto"/>
        <w:left w:val="none" w:sz="0" w:space="0" w:color="auto"/>
        <w:bottom w:val="none" w:sz="0" w:space="0" w:color="auto"/>
        <w:right w:val="none" w:sz="0" w:space="0" w:color="auto"/>
      </w:divBdr>
    </w:div>
    <w:div w:id="980618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competition-cases.ec.europa.eu/cases/SA.48120" TargetMode="External"/><Relationship Id="rId18" Type="http://schemas.openxmlformats.org/officeDocument/2006/relationships/hyperlink" Target="https://competition-cases.ec.europa.eu/cases/SA.28907" TargetMode="External"/><Relationship Id="rId26" Type="http://schemas.openxmlformats.org/officeDocument/2006/relationships/hyperlink" Target="https://competition-cases.ec.europa.eu/cases/SA.33989" TargetMode="External"/><Relationship Id="rId3" Type="http://schemas.openxmlformats.org/officeDocument/2006/relationships/styles" Target="styles.xml"/><Relationship Id="rId21" Type="http://schemas.openxmlformats.org/officeDocument/2006/relationships/hyperlink" Target="https://competition-cases.ec.europa.eu/cases/SA.38869"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competition-cases.ec.europa.eu/cases/SA.55270" TargetMode="External"/><Relationship Id="rId25" Type="http://schemas.openxmlformats.org/officeDocument/2006/relationships/hyperlink" Target="https://competition-cases.ec.europa.eu/cases/SA.22356" TargetMode="External"/><Relationship Id="rId33"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s://competition-cases.ec.europa.eu/cases/SA.106193" TargetMode="External"/><Relationship Id="rId20" Type="http://schemas.openxmlformats.org/officeDocument/2006/relationships/hyperlink" Target="https://competition-cases.ec.europa.eu/cases/SA.38869" TargetMode="External"/><Relationship Id="rId29" Type="http://schemas.openxmlformats.org/officeDocument/2006/relationships/hyperlink" Target="https://competition-cases.ec.europa.eu/cases/SA.223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jpeg"/><Relationship Id="rId32" Type="http://schemas.openxmlformats.org/officeDocument/2006/relationships/hyperlink" Target="https://competition-cases.ec.europa.eu/cases/SA.50872" TargetMode="External"/><Relationship Id="rId5" Type="http://schemas.openxmlformats.org/officeDocument/2006/relationships/webSettings" Target="webSettings.xml"/><Relationship Id="rId15" Type="http://schemas.openxmlformats.org/officeDocument/2006/relationships/hyperlink" Target="https://competition-cases.ec.europa.eu/cases/SA.32014" TargetMode="External"/><Relationship Id="rId23" Type="http://schemas.openxmlformats.org/officeDocument/2006/relationships/hyperlink" Target="https://competition-cases.ec.europa.eu/cases/SA.31006" TargetMode="External"/><Relationship Id="rId28" Type="http://schemas.openxmlformats.org/officeDocument/2006/relationships/hyperlink" Target="https://competition-cases.ec.europa.eu/cases/SA.55270" TargetMode="External"/><Relationship Id="rId10" Type="http://schemas.openxmlformats.org/officeDocument/2006/relationships/image" Target="media/image3.png"/><Relationship Id="rId19" Type="http://schemas.openxmlformats.org/officeDocument/2006/relationships/hyperlink" Target="https://competition-cases.ec.europa.eu/cases/SA.46228" TargetMode="External"/><Relationship Id="rId31" Type="http://schemas.openxmlformats.org/officeDocument/2006/relationships/hyperlink" Target="https://competition-cases.ec.europa.eu/cases/SA.37977"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competition-cases.ec.europa.eu/cases/SA.49523" TargetMode="External"/><Relationship Id="rId22" Type="http://schemas.openxmlformats.org/officeDocument/2006/relationships/image" Target="media/image5.jpeg"/><Relationship Id="rId27" Type="http://schemas.openxmlformats.org/officeDocument/2006/relationships/hyperlink" Target="https://competition-cases.ec.europa.eu/cases/SA.43243" TargetMode="External"/><Relationship Id="rId30" Type="http://schemas.openxmlformats.org/officeDocument/2006/relationships/image" Target="media/image7.jpeg"/><Relationship Id="rId35" Type="http://schemas.openxmlformats.org/officeDocument/2006/relationships/theme" Target="theme/theme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3" Type="http://schemas.openxmlformats.org/officeDocument/2006/relationships/hyperlink" Target="https://eur-lex.europa.eu/legal-content/EN/TXT/?uri=CELEX%3A01997L0067-20080227" TargetMode="External"/><Relationship Id="rId18" Type="http://schemas.openxmlformats.org/officeDocument/2006/relationships/hyperlink" Target="https://competition-policy.ec.europa.eu/state-aid/legislation/modernisation/regional-aid/maps-2022-2027_en" TargetMode="External"/><Relationship Id="rId26" Type="http://schemas.openxmlformats.org/officeDocument/2006/relationships/hyperlink" Target="https://environment.ec.europa.eu/publications/waste-early-warning-reports-2023-country-specific-factsheets_en" TargetMode="External"/><Relationship Id="rId21" Type="http://schemas.openxmlformats.org/officeDocument/2006/relationships/hyperlink" Target="https://likumi.lv/ta/id/355002" TargetMode="External"/><Relationship Id="rId34" Type="http://schemas.openxmlformats.org/officeDocument/2006/relationships/hyperlink" Target="https://competition-policy.ec.europa.eu/document/download/99b25350-5f86-499d-b064-78cc126f16c7_en?filename=notion_of_aid_grid_waste_en.pdf" TargetMode="External"/><Relationship Id="rId7" Type="http://schemas.openxmlformats.org/officeDocument/2006/relationships/hyperlink" Target="https://eur-lex.europa.eu/legal-content/EN/TXT/HTML/?uri=CELEX%3A61999CJ0205" TargetMode="External"/><Relationship Id="rId12" Type="http://schemas.openxmlformats.org/officeDocument/2006/relationships/hyperlink" Target="https://eur-lex.europa.eu/legal-content/en/TXT/?uri=CELEX%3A32018L1972" TargetMode="External"/><Relationship Id="rId17" Type="http://schemas.openxmlformats.org/officeDocument/2006/relationships/hyperlink" Target="https://competition-policy.ec.europa.eu/state-aid/legislation/modernisation/regional-aid/maps-2022-2027_en" TargetMode="External"/><Relationship Id="rId25" Type="http://schemas.openxmlformats.org/officeDocument/2006/relationships/hyperlink" Target="https://www.eea.europa.eu/publications/many-eu-member-states/early-warning-assessment-related-to" TargetMode="External"/><Relationship Id="rId33" Type="http://schemas.openxmlformats.org/officeDocument/2006/relationships/hyperlink" Target="https://likumi.lv/ta/id/334085-noteikumi-par-atbalstu-dzivojamo-ires-maju-buvniecibai-eiropas-savienibas-atveselosanas-un-noturibas-mehanisma-plana-3-1" TargetMode="External"/><Relationship Id="rId38" Type="http://schemas.openxmlformats.org/officeDocument/2006/relationships/hyperlink" Target="https://competition-cases.ec.europa.eu/cases/SA.21168" TargetMode="External"/><Relationship Id="rId2" Type="http://schemas.openxmlformats.org/officeDocument/2006/relationships/hyperlink" Target="https://eur-lex.europa.eu/legal-content/EN/TXT/?uri=uriserv%3AOJ.C_.2022.080.01.0001.01.ENG&amp;toc=OJ%3AC%3A2022%3A080%3ATOC" TargetMode="External"/><Relationship Id="rId16" Type="http://schemas.openxmlformats.org/officeDocument/2006/relationships/hyperlink" Target="https://competition-policy.ec.europa.eu/state-aid/legislation/sgei/swap-rate-proxies_en" TargetMode="External"/><Relationship Id="rId20" Type="http://schemas.openxmlformats.org/officeDocument/2006/relationships/hyperlink" Target="https://tapportals.mk.gov.lv/annotation/c7b48eb3-0a54-49f8-ad78-beee5944f5be" TargetMode="External"/><Relationship Id="rId29" Type="http://schemas.openxmlformats.org/officeDocument/2006/relationships/hyperlink" Target="https://www.eea.europa.eu/publications/many-eu-member-states/early-warning-assessment-related-to" TargetMode="External"/><Relationship Id="rId1" Type="http://schemas.openxmlformats.org/officeDocument/2006/relationships/hyperlink" Target="https://eur-lex.europa.eu/legal-content/EN/ALL/?uri=CELEX%3A62000CJ0280" TargetMode="External"/><Relationship Id="rId6" Type="http://schemas.openxmlformats.org/officeDocument/2006/relationships/hyperlink" Target="https://eur-lex.europa.eu/legal-content/EN/TXT/?uri=CELEX:62003TJ0289" TargetMode="External"/><Relationship Id="rId11" Type="http://schemas.openxmlformats.org/officeDocument/2006/relationships/hyperlink" Target="https://ec.europa.eu/competition/state_aid/cases/264986/264986_1870314_62_2.pdf" TargetMode="External"/><Relationship Id="rId24" Type="http://schemas.openxmlformats.org/officeDocument/2006/relationships/hyperlink" Target="https://www.eea.europa.eu/publications/many-eu-member-states/early-warning-assessment-related-to" TargetMode="External"/><Relationship Id="rId32" Type="http://schemas.openxmlformats.org/officeDocument/2006/relationships/hyperlink" Target="https://likumi.lv/ta/id/334085-noteikumi-par-atbalstu-dzivojamo-ires-maju-buvniecibai-eiropas-savienibas-atveselosanas-un-noturibas-mehanisma-plana-3-1" TargetMode="External"/><Relationship Id="rId37" Type="http://schemas.openxmlformats.org/officeDocument/2006/relationships/hyperlink" Target="https://eur-lex.europa.eu/legal-content/EN/TXT/?uri=CELEX%3A32007R1370" TargetMode="External"/><Relationship Id="rId5" Type="http://schemas.openxmlformats.org/officeDocument/2006/relationships/hyperlink" Target="https://curia.europa.eu/juris/showPdf.jsf%3Bjsessionid%3DCFBDBE08789C37FF953A3F39B1BD1B9D?text&amp;docid=59352&amp;pageIndex=0&amp;doclang=en&amp;mode=lst&amp;dir&amp;occ=first&amp;part=1&amp;cid=9836528" TargetMode="External"/><Relationship Id="rId15" Type="http://schemas.openxmlformats.org/officeDocument/2006/relationships/hyperlink" Target="https://competition-policy.ec.europa.eu/state-aid/legislation/sgei/swap-rate-proxies_en" TargetMode="External"/><Relationship Id="rId23" Type="http://schemas.openxmlformats.org/officeDocument/2006/relationships/hyperlink" Target="https://ec.europa.eu/commission/presscorner/detail/en/ip_24_1007" TargetMode="External"/><Relationship Id="rId28" Type="http://schemas.openxmlformats.org/officeDocument/2006/relationships/hyperlink" Target="https://www.eea.europa.eu/publications/many-eu-member-states/early-warning-assessment-related-to" TargetMode="External"/><Relationship Id="rId36" Type="http://schemas.openxmlformats.org/officeDocument/2006/relationships/hyperlink" Target="https://eur-lex.europa.eu/legal-content/EN/TXT/?uri=CELEX%3A32007R1370" TargetMode="External"/><Relationship Id="rId10" Type="http://schemas.openxmlformats.org/officeDocument/2006/relationships/hyperlink" Target="https://eur-lex.europa.eu/eli/dec/2022/1328" TargetMode="External"/><Relationship Id="rId19" Type="http://schemas.openxmlformats.org/officeDocument/2006/relationships/hyperlink" Target="https://likumi.lv/ta/id/350819" TargetMode="External"/><Relationship Id="rId31" Type="http://schemas.openxmlformats.org/officeDocument/2006/relationships/hyperlink" Target="https://environment.ec.europa.eu/publications/waste-early-warning-reports-2023-country-specific-factsheets_en" TargetMode="External"/><Relationship Id="rId4" Type="http://schemas.openxmlformats.org/officeDocument/2006/relationships/hyperlink" Target="https://www.eea.europa.eu/publications/economic-instruments-and-separate-collection" TargetMode="External"/><Relationship Id="rId9" Type="http://schemas.openxmlformats.org/officeDocument/2006/relationships/hyperlink" Target="https://competition-cases.ec.europa.eu/cases/SA.100860" TargetMode="External"/><Relationship Id="rId14" Type="http://schemas.openxmlformats.org/officeDocument/2006/relationships/hyperlink" Target="https://competition-cases.ec.europa.eu/cases/SA.55270" TargetMode="External"/><Relationship Id="rId22" Type="http://schemas.openxmlformats.org/officeDocument/2006/relationships/hyperlink" Target="https://tapportals.mk.gov.lv/annotation/5f7ca2b9-27a7-4f87-99fa-eec0d2e10d49" TargetMode="External"/><Relationship Id="rId27" Type="http://schemas.openxmlformats.org/officeDocument/2006/relationships/hyperlink" Target="https://www.eea.europa.eu/publications/many-eu-member-states/early-warning-assessment-related-to" TargetMode="External"/><Relationship Id="rId30" Type="http://schemas.openxmlformats.org/officeDocument/2006/relationships/hyperlink" Target="https://environment.ec.europa.eu/publications/waste-early-warning-reports-2023-country-specific-factsheets_en" TargetMode="External"/><Relationship Id="rId35" Type="http://schemas.openxmlformats.org/officeDocument/2006/relationships/hyperlink" Target="https://competition-cases.ec.europa.eu/cases/SA.30381" TargetMode="External"/><Relationship Id="rId8" Type="http://schemas.openxmlformats.org/officeDocument/2006/relationships/hyperlink" Target="https://competition-cases.ec.europa.eu/cases/SA.20461" TargetMode="External"/><Relationship Id="rId3" Type="http://schemas.openxmlformats.org/officeDocument/2006/relationships/hyperlink" Target="https://www.eea.europa.eu/publications/many-eu-member-states/early-warning-assessment-related-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586D5-7507-4117-9D2C-AA3EB268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48</Pages>
  <Words>20512</Words>
  <Characters>116920</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EDGE Christopher</dc:creator>
  <cp:lastModifiedBy>ΚΟΛΟΚΟΤΡΩΝΗ ΚΩΝΣΤΑΝΤΙΝΑ</cp:lastModifiedBy>
  <cp:revision>145</cp:revision>
  <dcterms:created xsi:type="dcterms:W3CDTF">2025-03-07T17:44:00Z</dcterms:created>
  <dcterms:modified xsi:type="dcterms:W3CDTF">2025-03-08T19:05:00Z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2025-01-30T00:00:00Z</vt:filetime>
  </property>
  <property fmtid="{D5CDD505-2E9C-101B-9397-08002B2CF9AE}" pid="3" name="Creator">
    <vt:lpwstr>Microsoft® Word for Microsoft 365</vt:lpwstr>
  </property>
  <property fmtid="{D5CDD505-2E9C-101B-9397-08002B2CF9AE}" pid="4" name="LastSaved">
    <vt:filetime>2025-03-07T00:00:00Z</vt:filetime>
  </property>
  <property fmtid="{D5CDD505-2E9C-101B-9397-08002B2CF9AE}" pid="5" name="MSIP_Label_6bd9ddd1-4d20-43f6-abfa-fc3c07406f94_ActionId">
    <vt:lpwstr>8bc1545a-d299-406a-ae9a-9c35bffeee64</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2023-04-12T11:48:05Z</vt:lpwstr>
  </property>
  <property fmtid="{D5CDD505-2E9C-101B-9397-08002B2CF9AE}" pid="11" name="MSIP_Label_6bd9ddd1-4d20-43f6-abfa-fc3c07406f94_SiteId">
    <vt:lpwstr>b24c8b06-522c-46fe-9080-70926f8dddb1</vt:lpwstr>
  </property>
  <property fmtid="{D5CDD505-2E9C-101B-9397-08002B2CF9AE}" pid="12" name="MSIP_Label_a2b66c57-0888-49c5-9c42-f8765a044c7f_ActionId">
    <vt:lpwstr>0330eee2-7c61-4155-9c64-b7cf75178e71</vt:lpwstr>
  </property>
  <property fmtid="{D5CDD505-2E9C-101B-9397-08002B2CF9AE}" pid="13" name="MSIP_Label_a2b66c57-0888-49c5-9c42-f8765a044c7f_ContentBits">
    <vt:lpwstr>1</vt:lpwstr>
  </property>
  <property fmtid="{D5CDD505-2E9C-101B-9397-08002B2CF9AE}" pid="14" name="MSIP_Label_a2b66c57-0888-49c5-9c42-f8765a044c7f_Enabled">
    <vt:lpwstr>true</vt:lpwstr>
  </property>
  <property fmtid="{D5CDD505-2E9C-101B-9397-08002B2CF9AE}" pid="15" name="MSIP_Label_a2b66c57-0888-49c5-9c42-f8765a044c7f_Method">
    <vt:lpwstr>Privileged</vt:lpwstr>
  </property>
  <property fmtid="{D5CDD505-2E9C-101B-9397-08002B2CF9AE}" pid="16" name="MSIP_Label_a2b66c57-0888-49c5-9c42-f8765a044c7f_Name">
    <vt:lpwstr>Default Public</vt:lpwstr>
  </property>
  <property fmtid="{D5CDD505-2E9C-101B-9397-08002B2CF9AE}" pid="17" name="MSIP_Label_a2b66c57-0888-49c5-9c42-f8765a044c7f_SetDate">
    <vt:lpwstr>2024-04-25T13:32:17Z</vt:lpwstr>
  </property>
  <property fmtid="{D5CDD505-2E9C-101B-9397-08002B2CF9AE}" pid="18" name="MSIP_Label_a2b66c57-0888-49c5-9c42-f8765a044c7f_SiteId">
    <vt:lpwstr>0b96d5d2-d153-4370-a2c7-8a926f24c8a1</vt:lpwstr>
  </property>
  <property fmtid="{D5CDD505-2E9C-101B-9397-08002B2CF9AE}" pid="19" name="Producer">
    <vt:lpwstr>Microsoft® Word for Microsoft 365</vt:lpwstr>
  </property>
</Properties>
</file>